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63"/>
        <w:gridCol w:w="1180"/>
        <w:gridCol w:w="709"/>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485" w:type="dxa"/>
            <w:gridSpan w:val="6"/>
            <w:tcBorders>
              <w:top w:val="nil"/>
              <w:left w:val="nil"/>
              <w:bottom w:val="single" w:color="auto" w:sz="4" w:space="0"/>
              <w:right w:val="nil"/>
            </w:tcBorders>
            <w:shd w:val="clear" w:color="auto" w:fill="auto"/>
            <w:noWrap/>
            <w:vAlign w:val="center"/>
          </w:tcPr>
          <w:p>
            <w:pPr>
              <w:widowControl/>
              <w:rPr>
                <w:rFonts w:ascii="宋体" w:hAnsi="宋体" w:cs="宋体"/>
                <w:b/>
                <w:bCs/>
                <w:color w:val="000000"/>
                <w:kern w:val="0"/>
                <w:sz w:val="18"/>
                <w:szCs w:val="18"/>
              </w:rPr>
            </w:pPr>
            <w:r>
              <w:rPr>
                <w:rFonts w:hint="eastAsia" w:ascii="宋体" w:hAnsi="宋体"/>
                <w:bCs/>
                <w:sz w:val="24"/>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tcBorders>
              <w:top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663" w:type="dxa"/>
            <w:tcBorders>
              <w:top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180" w:type="dxa"/>
            <w:tcBorders>
              <w:top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5812" w:type="dxa"/>
            <w:gridSpan w:val="2"/>
            <w:tcBorders>
              <w:top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评价细则</w:t>
            </w:r>
          </w:p>
        </w:tc>
        <w:tc>
          <w:tcPr>
            <w:tcW w:w="2126" w:type="dxa"/>
            <w:tcBorders>
              <w:top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restart"/>
            <w:shd w:val="clear" w:color="auto" w:fill="auto"/>
            <w:noWrap/>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德育评价10%</w:t>
            </w:r>
          </w:p>
        </w:tc>
        <w:tc>
          <w:tcPr>
            <w:tcW w:w="663"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基本素质评价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德育实践</w:t>
            </w:r>
          </w:p>
        </w:tc>
        <w:tc>
          <w:tcPr>
            <w:tcW w:w="5812" w:type="dxa"/>
            <w:gridSpan w:val="2"/>
            <w:vAlign w:val="center"/>
          </w:tcPr>
          <w:p>
            <w:pPr>
              <w:widowControl/>
              <w:rPr>
                <w:rFonts w:ascii="宋体" w:hAnsi="宋体" w:cs="宋体"/>
                <w:kern w:val="0"/>
                <w:sz w:val="18"/>
                <w:szCs w:val="18"/>
              </w:rPr>
            </w:pPr>
            <w:r>
              <w:rPr>
                <w:rFonts w:hint="eastAsia" w:ascii="宋体" w:hAnsi="宋体" w:cs="宋体"/>
                <w:kern w:val="0"/>
                <w:sz w:val="18"/>
                <w:szCs w:val="18"/>
              </w:rPr>
              <w:t>在评价周期内，符合以下基本条件，可评定为“合格”等级：</w:t>
            </w:r>
          </w:p>
          <w:p>
            <w:pPr>
              <w:widowControl/>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热爱社会主义祖国，拥护中国共产党的领导；</w:t>
            </w:r>
            <w:r>
              <w:rPr>
                <w:rFonts w:ascii="宋体" w:hAnsi="宋体" w:cs="宋体"/>
                <w:kern w:val="0"/>
                <w:sz w:val="18"/>
                <w:szCs w:val="18"/>
              </w:rPr>
              <w:t xml:space="preserve"> </w:t>
            </w:r>
          </w:p>
          <w:p>
            <w:pPr>
              <w:widowControl/>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遵守宪法和法律，遵守学校规章制度；</w:t>
            </w:r>
          </w:p>
          <w:p>
            <w:pPr>
              <w:widowControl/>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思想觉悟高，诚实守信，道德品质优良；</w:t>
            </w:r>
          </w:p>
          <w:p>
            <w:pPr>
              <w:widowControl/>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青年大学习参学率不低于8</w:t>
            </w:r>
            <w:r>
              <w:rPr>
                <w:rFonts w:ascii="宋体" w:hAnsi="宋体" w:cs="宋体"/>
                <w:kern w:val="0"/>
                <w:sz w:val="18"/>
                <w:szCs w:val="18"/>
              </w:rPr>
              <w:t>0</w:t>
            </w:r>
            <w:r>
              <w:rPr>
                <w:rFonts w:hint="eastAsia" w:ascii="宋体" w:hAnsi="宋体" w:cs="宋体"/>
                <w:kern w:val="0"/>
                <w:sz w:val="18"/>
                <w:szCs w:val="18"/>
              </w:rPr>
              <w:t>%；</w:t>
            </w:r>
          </w:p>
          <w:p>
            <w:pPr>
              <w:widowControl/>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.团日活动、党日活动请假不超过3次。</w:t>
            </w:r>
          </w:p>
        </w:tc>
        <w:tc>
          <w:tcPr>
            <w:tcW w:w="2126"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研究生自评-班级考评小组评价-导师评价-辅导员评价-学院复核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shd w:val="clear" w:color="auto" w:fill="auto"/>
            <w:noWrap/>
            <w:vAlign w:val="center"/>
          </w:tcPr>
          <w:p>
            <w:pPr>
              <w:jc w:val="center"/>
              <w:rPr>
                <w:rFonts w:ascii="宋体" w:hAnsi="宋体" w:cs="宋体"/>
                <w:b/>
                <w:bCs/>
                <w:color w:val="000000"/>
                <w:kern w:val="0"/>
                <w:sz w:val="18"/>
                <w:szCs w:val="18"/>
              </w:rPr>
            </w:pPr>
          </w:p>
        </w:tc>
        <w:tc>
          <w:tcPr>
            <w:tcW w:w="663" w:type="dxa"/>
            <w:vMerge w:val="restart"/>
            <w:vAlign w:val="center"/>
          </w:tcPr>
          <w:p>
            <w:pPr>
              <w:jc w:val="center"/>
              <w:rPr>
                <w:rFonts w:ascii="宋体" w:hAnsi="宋体" w:cs="宋体"/>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志愿服务</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公益活动</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根据志愿服务工时计分，1个工时计1分，4</w:t>
            </w:r>
            <w:r>
              <w:rPr>
                <w:rFonts w:ascii="宋体" w:hAnsi="宋体" w:cs="宋体"/>
                <w:color w:val="000000"/>
                <w:kern w:val="0"/>
                <w:sz w:val="18"/>
                <w:szCs w:val="18"/>
              </w:rPr>
              <w:t>5</w:t>
            </w:r>
            <w:r>
              <w:rPr>
                <w:rFonts w:hint="eastAsia" w:ascii="宋体" w:hAnsi="宋体" w:cs="宋体"/>
                <w:color w:val="000000"/>
                <w:kern w:val="0"/>
                <w:sz w:val="18"/>
                <w:szCs w:val="18"/>
              </w:rPr>
              <w:t>分钟计1个工时，每半天计4个工时。</w:t>
            </w:r>
          </w:p>
          <w:p>
            <w:pPr>
              <w:widowControl/>
              <w:rPr>
                <w:rFonts w:ascii="宋体" w:hAnsi="宋体" w:cs="宋体"/>
                <w:color w:val="000000"/>
                <w:kern w:val="0"/>
                <w:sz w:val="18"/>
                <w:szCs w:val="18"/>
              </w:rPr>
            </w:pPr>
            <w:r>
              <w:rPr>
                <w:rFonts w:hint="eastAsia" w:ascii="宋体" w:hAnsi="宋体" w:cs="宋体"/>
                <w:color w:val="000000"/>
                <w:kern w:val="0"/>
                <w:sz w:val="18"/>
                <w:szCs w:val="18"/>
              </w:rPr>
              <w:t>注：单项活动累计4</w:t>
            </w:r>
            <w:r>
              <w:rPr>
                <w:rFonts w:ascii="宋体" w:hAnsi="宋体" w:cs="宋体"/>
                <w:color w:val="000000"/>
                <w:kern w:val="0"/>
                <w:sz w:val="18"/>
                <w:szCs w:val="18"/>
              </w:rPr>
              <w:t>0</w:t>
            </w:r>
            <w:r>
              <w:rPr>
                <w:rFonts w:hint="eastAsia" w:ascii="宋体" w:hAnsi="宋体" w:cs="宋体"/>
                <w:color w:val="000000"/>
                <w:kern w:val="0"/>
                <w:sz w:val="18"/>
                <w:szCs w:val="18"/>
              </w:rPr>
              <w:t>分封顶。</w:t>
            </w:r>
          </w:p>
        </w:tc>
        <w:tc>
          <w:tcPr>
            <w:tcW w:w="2126" w:type="dxa"/>
            <w:vMerge w:val="restart"/>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研究生个人申报-班级考评小组审核-学院复核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704" w:type="dxa"/>
            <w:vMerge w:val="continue"/>
            <w:shd w:val="clear" w:color="auto" w:fill="auto"/>
            <w:noWrap/>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党建主题类演讲比赛、知识竞赛和征文等活动</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国家级一、二、三等奖、优秀奖分别计100分、95分、90分、8</w:t>
            </w:r>
            <w:r>
              <w:rPr>
                <w:rFonts w:ascii="宋体" w:hAnsi="宋体" w:cs="宋体"/>
                <w:color w:val="000000"/>
                <w:kern w:val="0"/>
                <w:sz w:val="18"/>
                <w:szCs w:val="18"/>
              </w:rPr>
              <w:t>5</w:t>
            </w:r>
            <w:r>
              <w:rPr>
                <w:rFonts w:hint="eastAsia" w:ascii="宋体" w:hAnsi="宋体" w:cs="宋体"/>
                <w:color w:val="000000"/>
                <w:kern w:val="0"/>
                <w:sz w:val="18"/>
                <w:szCs w:val="18"/>
              </w:rPr>
              <w:t>分；</w:t>
            </w:r>
          </w:p>
          <w:p>
            <w:pPr>
              <w:widowControl/>
              <w:rPr>
                <w:rFonts w:ascii="宋体" w:hAnsi="宋体" w:cs="宋体"/>
                <w:color w:val="000000"/>
                <w:kern w:val="0"/>
                <w:sz w:val="18"/>
                <w:szCs w:val="18"/>
              </w:rPr>
            </w:pPr>
            <w:r>
              <w:rPr>
                <w:rFonts w:hint="eastAsia" w:ascii="宋体" w:hAnsi="宋体" w:cs="宋体"/>
                <w:color w:val="000000"/>
                <w:kern w:val="0"/>
                <w:sz w:val="18"/>
                <w:szCs w:val="18"/>
              </w:rPr>
              <w:t>省级一、二、三等奖、优秀奖分别计80分、75分、70分、6</w:t>
            </w:r>
            <w:r>
              <w:rPr>
                <w:rFonts w:ascii="宋体" w:hAnsi="宋体" w:cs="宋体"/>
                <w:color w:val="000000"/>
                <w:kern w:val="0"/>
                <w:sz w:val="18"/>
                <w:szCs w:val="18"/>
              </w:rPr>
              <w:t>5</w:t>
            </w:r>
            <w:r>
              <w:rPr>
                <w:rFonts w:hint="eastAsia" w:ascii="宋体" w:hAnsi="宋体" w:cs="宋体"/>
                <w:color w:val="000000"/>
                <w:kern w:val="0"/>
                <w:sz w:val="18"/>
                <w:szCs w:val="18"/>
              </w:rPr>
              <w:t>分；</w:t>
            </w:r>
          </w:p>
          <w:p>
            <w:pPr>
              <w:widowControl/>
              <w:rPr>
                <w:rFonts w:ascii="宋体" w:hAnsi="宋体" w:cs="宋体"/>
                <w:color w:val="000000"/>
                <w:kern w:val="0"/>
                <w:sz w:val="18"/>
                <w:szCs w:val="18"/>
              </w:rPr>
            </w:pPr>
            <w:r>
              <w:rPr>
                <w:rFonts w:hint="eastAsia" w:ascii="宋体" w:hAnsi="宋体" w:cs="宋体"/>
                <w:color w:val="000000"/>
                <w:kern w:val="0"/>
                <w:sz w:val="18"/>
                <w:szCs w:val="18"/>
              </w:rPr>
              <w:t>市级一、二、三等奖、优秀奖分别计60分、55分、50分、4</w:t>
            </w:r>
            <w:r>
              <w:rPr>
                <w:rFonts w:ascii="宋体" w:hAnsi="宋体" w:cs="宋体"/>
                <w:color w:val="000000"/>
                <w:kern w:val="0"/>
                <w:sz w:val="18"/>
                <w:szCs w:val="18"/>
              </w:rPr>
              <w:t>5</w:t>
            </w:r>
            <w:r>
              <w:rPr>
                <w:rFonts w:hint="eastAsia" w:ascii="宋体" w:hAnsi="宋体" w:cs="宋体"/>
                <w:color w:val="000000"/>
                <w:kern w:val="0"/>
                <w:sz w:val="18"/>
                <w:szCs w:val="18"/>
              </w:rPr>
              <w:t>分；</w:t>
            </w:r>
          </w:p>
          <w:p>
            <w:pPr>
              <w:widowControl/>
              <w:rPr>
                <w:rFonts w:ascii="宋体" w:hAnsi="宋体" w:cs="宋体"/>
                <w:color w:val="000000"/>
                <w:kern w:val="0"/>
                <w:sz w:val="18"/>
                <w:szCs w:val="18"/>
              </w:rPr>
            </w:pPr>
            <w:r>
              <w:rPr>
                <w:rFonts w:hint="eastAsia" w:ascii="宋体" w:hAnsi="宋体" w:cs="宋体"/>
                <w:color w:val="000000"/>
                <w:kern w:val="0"/>
                <w:sz w:val="18"/>
                <w:szCs w:val="18"/>
              </w:rPr>
              <w:t>校级一、二、三等奖、优秀奖分别计40分、35分、30分、2</w:t>
            </w:r>
            <w:r>
              <w:rPr>
                <w:rFonts w:ascii="宋体" w:hAnsi="宋体" w:cs="宋体"/>
                <w:color w:val="000000"/>
                <w:kern w:val="0"/>
                <w:sz w:val="18"/>
                <w:szCs w:val="18"/>
              </w:rPr>
              <w:t>5</w:t>
            </w:r>
            <w:r>
              <w:rPr>
                <w:rFonts w:hint="eastAsia" w:ascii="宋体" w:hAnsi="宋体" w:cs="宋体"/>
                <w:color w:val="000000"/>
                <w:kern w:val="0"/>
                <w:sz w:val="18"/>
                <w:szCs w:val="18"/>
              </w:rPr>
              <w:t>分；</w:t>
            </w:r>
          </w:p>
          <w:p>
            <w:pPr>
              <w:widowControl/>
              <w:rPr>
                <w:rFonts w:ascii="宋体" w:hAnsi="宋体" w:cs="宋体"/>
                <w:color w:val="000000"/>
                <w:kern w:val="0"/>
                <w:sz w:val="18"/>
                <w:szCs w:val="18"/>
              </w:rPr>
            </w:pPr>
            <w:r>
              <w:rPr>
                <w:rFonts w:hint="eastAsia" w:ascii="宋体" w:hAnsi="宋体" w:cs="宋体"/>
                <w:color w:val="000000"/>
                <w:kern w:val="0"/>
                <w:sz w:val="18"/>
                <w:szCs w:val="18"/>
              </w:rPr>
              <w:t>院级一、二、三等奖、优秀奖分别计20分、15分、10分、5分。</w:t>
            </w:r>
          </w:p>
        </w:tc>
        <w:tc>
          <w:tcPr>
            <w:tcW w:w="2126" w:type="dxa"/>
            <w:vMerge w:val="continue"/>
            <w:vAlign w:val="center"/>
          </w:tcPr>
          <w:p>
            <w:pPr>
              <w:widowControl/>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continue"/>
            <w:vAlign w:val="center"/>
          </w:tcPr>
          <w:p>
            <w:pPr>
              <w:widowControl/>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color w:val="000000"/>
                <w:kern w:val="0"/>
                <w:sz w:val="18"/>
                <w:szCs w:val="18"/>
              </w:rPr>
            </w:pP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年度综合类荣誉表彰</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国家级计100分；省级计80分；市级计60分；校级计40分。</w:t>
            </w:r>
          </w:p>
        </w:tc>
        <w:tc>
          <w:tcPr>
            <w:tcW w:w="2126" w:type="dxa"/>
            <w:vMerge w:val="continue"/>
            <w:vAlign w:val="center"/>
          </w:tcPr>
          <w:p>
            <w:pPr>
              <w:widowControl/>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continue"/>
            <w:vAlign w:val="center"/>
          </w:tcPr>
          <w:p>
            <w:pPr>
              <w:widowControl/>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color w:val="000000"/>
                <w:kern w:val="0"/>
                <w:sz w:val="18"/>
                <w:szCs w:val="18"/>
              </w:rPr>
            </w:pP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担任学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生干部</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院研会主席计0-40分；副主席、支部书记、班长、团支书计0</w:t>
            </w:r>
            <w:r>
              <w:rPr>
                <w:rFonts w:ascii="宋体" w:hAnsi="宋体" w:cs="宋体"/>
                <w:color w:val="000000"/>
                <w:kern w:val="0"/>
                <w:sz w:val="18"/>
                <w:szCs w:val="18"/>
              </w:rPr>
              <w:t>-</w:t>
            </w:r>
            <w:r>
              <w:rPr>
                <w:rFonts w:hint="eastAsia" w:ascii="宋体" w:hAnsi="宋体" w:cs="宋体"/>
                <w:color w:val="000000"/>
                <w:kern w:val="0"/>
                <w:sz w:val="18"/>
                <w:szCs w:val="18"/>
              </w:rPr>
              <w:t>30分；各职能部长（副部长）计0</w:t>
            </w:r>
            <w:r>
              <w:rPr>
                <w:rFonts w:ascii="宋体" w:hAnsi="宋体" w:cs="宋体"/>
                <w:color w:val="000000"/>
                <w:kern w:val="0"/>
                <w:sz w:val="18"/>
                <w:szCs w:val="18"/>
              </w:rPr>
              <w:t>-</w:t>
            </w:r>
            <w:r>
              <w:rPr>
                <w:rFonts w:hint="eastAsia" w:ascii="宋体" w:hAnsi="宋体" w:cs="宋体"/>
                <w:color w:val="000000"/>
                <w:kern w:val="0"/>
                <w:sz w:val="18"/>
                <w:szCs w:val="18"/>
              </w:rPr>
              <w:t>20分；支委、班委计0</w:t>
            </w:r>
            <w:r>
              <w:rPr>
                <w:rFonts w:ascii="宋体" w:hAnsi="宋体" w:cs="宋体"/>
                <w:color w:val="000000"/>
                <w:kern w:val="0"/>
                <w:sz w:val="18"/>
                <w:szCs w:val="18"/>
              </w:rPr>
              <w:t>-</w:t>
            </w:r>
            <w:r>
              <w:rPr>
                <w:rFonts w:hint="eastAsia" w:ascii="宋体" w:hAnsi="宋体" w:cs="宋体"/>
                <w:color w:val="000000"/>
                <w:kern w:val="0"/>
                <w:sz w:val="18"/>
                <w:szCs w:val="18"/>
              </w:rPr>
              <w:t>10分。</w:t>
            </w:r>
          </w:p>
          <w:p>
            <w:pPr>
              <w:widowControl/>
              <w:rPr>
                <w:rFonts w:ascii="宋体" w:hAnsi="宋体" w:cs="宋体"/>
                <w:color w:val="000000"/>
                <w:kern w:val="0"/>
                <w:sz w:val="18"/>
                <w:szCs w:val="18"/>
              </w:rPr>
            </w:pPr>
            <w:r>
              <w:rPr>
                <w:rFonts w:hint="eastAsia" w:ascii="宋体" w:hAnsi="宋体" w:cs="宋体"/>
                <w:color w:val="000000"/>
                <w:kern w:val="0"/>
                <w:sz w:val="18"/>
                <w:szCs w:val="18"/>
              </w:rPr>
              <w:t>注：计分不累计，担任多个学生干部，只加最高分。</w:t>
            </w:r>
          </w:p>
        </w:tc>
        <w:tc>
          <w:tcPr>
            <w:tcW w:w="2126"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辅导员根据工作表现在区间内进行赋分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智育评价75%</w:t>
            </w: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基本素质评价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学习</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成绩</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在评价周期已修学分不低于应修学分的50%且课程（含非学位课）成绩无不及格情况，可评定为“合格”等级。</w:t>
            </w:r>
          </w:p>
        </w:tc>
        <w:tc>
          <w:tcPr>
            <w:tcW w:w="2126"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研究生工作秘书考核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restart"/>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学习</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成绩</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加权平均成绩</w:t>
            </w:r>
          </w:p>
        </w:tc>
        <w:tc>
          <w:tcPr>
            <w:tcW w:w="5103"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本学年内全部课程的加权平均成绩（百分制）。</w:t>
            </w:r>
          </w:p>
        </w:tc>
        <w:tc>
          <w:tcPr>
            <w:tcW w:w="2126"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研究生工作秘书考核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科研与实践成果</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学术</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论文</w:t>
            </w:r>
          </w:p>
        </w:tc>
        <w:tc>
          <w:tcPr>
            <w:tcW w:w="5103"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学生发表论文应与所学专业相关，依据学校最新期刊目录规定进行计分：权威期刊计100分，高水平重点期刊计80分，高水平重要期刊计60分，高水平期刊计30分。学校期刊目录无法认定的论文，由院学术委员会进行级别认定。</w:t>
            </w:r>
          </w:p>
          <w:p>
            <w:pPr>
              <w:widowControl/>
              <w:rPr>
                <w:rFonts w:ascii="宋体" w:hAnsi="宋体" w:cs="宋体"/>
                <w:color w:val="000000"/>
                <w:kern w:val="0"/>
                <w:sz w:val="18"/>
                <w:szCs w:val="18"/>
              </w:rPr>
            </w:pPr>
            <w:r>
              <w:rPr>
                <w:rFonts w:hint="eastAsia" w:ascii="宋体" w:hAnsi="宋体" w:cs="宋体"/>
                <w:color w:val="000000"/>
                <w:kern w:val="0"/>
                <w:sz w:val="18"/>
                <w:szCs w:val="18"/>
              </w:rPr>
              <w:t>注：对于在《国际期刊预警名单(试行)》上发表的论文，不能作为科研成果用于评奖评优。</w:t>
            </w:r>
          </w:p>
          <w:p>
            <w:pPr>
              <w:widowControl/>
              <w:rPr>
                <w:rFonts w:ascii="宋体" w:hAnsi="宋体" w:cs="宋体"/>
                <w:color w:val="000000"/>
                <w:kern w:val="0"/>
                <w:sz w:val="18"/>
                <w:szCs w:val="18"/>
              </w:rPr>
            </w:pPr>
            <w:r>
              <w:rPr>
                <w:rFonts w:hint="eastAsia" w:ascii="宋体" w:hAnsi="宋体" w:cs="宋体"/>
                <w:color w:val="000000"/>
                <w:kern w:val="0"/>
                <w:sz w:val="18"/>
                <w:szCs w:val="18"/>
              </w:rPr>
              <w:t>中文期刊多人合著，第一作者按60%计分，其余作者按剩余40%平均计分；</w:t>
            </w:r>
          </w:p>
          <w:p>
            <w:pPr>
              <w:widowControl/>
              <w:rPr>
                <w:rFonts w:ascii="宋体" w:hAnsi="宋体" w:cs="宋体"/>
                <w:color w:val="000000"/>
                <w:kern w:val="0"/>
                <w:sz w:val="18"/>
                <w:szCs w:val="18"/>
              </w:rPr>
            </w:pPr>
            <w:r>
              <w:rPr>
                <w:rFonts w:hint="eastAsia" w:ascii="宋体" w:hAnsi="宋体" w:cs="宋体"/>
                <w:color w:val="000000"/>
                <w:kern w:val="0"/>
                <w:sz w:val="18"/>
                <w:szCs w:val="18"/>
              </w:rPr>
              <w:t>在外文期刊上发表的学术论文，通讯作者按60%计分，其余作者按40%计分；如果学院教师为通讯作者的，第一作者是学生则按60%计分，其余作者按40%平均计分。</w:t>
            </w:r>
          </w:p>
          <w:p>
            <w:pPr>
              <w:widowControl/>
              <w:rPr>
                <w:rFonts w:ascii="宋体" w:hAnsi="宋体" w:cs="宋体"/>
                <w:color w:val="000000"/>
                <w:kern w:val="0"/>
                <w:sz w:val="18"/>
                <w:szCs w:val="18"/>
              </w:rPr>
            </w:pPr>
            <w:r>
              <w:rPr>
                <w:rFonts w:hint="eastAsia" w:ascii="宋体" w:hAnsi="宋体" w:cs="宋体"/>
                <w:color w:val="000000"/>
                <w:kern w:val="0"/>
                <w:sz w:val="18"/>
                <w:szCs w:val="18"/>
              </w:rPr>
              <w:t>次序认定时一位本院教师可不计入作者排序。</w:t>
            </w:r>
          </w:p>
        </w:tc>
        <w:tc>
          <w:tcPr>
            <w:tcW w:w="2126" w:type="dxa"/>
            <w:vMerge w:val="restart"/>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研究生个人申报-班级考评小组审核-学院复核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专著</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译著</w:t>
            </w:r>
          </w:p>
        </w:tc>
        <w:tc>
          <w:tcPr>
            <w:tcW w:w="5103"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学院研究生奖学金评审委员会审核专著质量和学生参与程度进行赋分。学生在学校认定的重要出版社出版高水平专著、译著1部计</w:t>
            </w:r>
            <w:r>
              <w:rPr>
                <w:rFonts w:ascii="宋体" w:hAnsi="宋体" w:cs="宋体"/>
                <w:color w:val="000000"/>
                <w:kern w:val="0"/>
                <w:sz w:val="18"/>
                <w:szCs w:val="18"/>
              </w:rPr>
              <w:t>50</w:t>
            </w:r>
            <w:r>
              <w:rPr>
                <w:rFonts w:hint="eastAsia" w:ascii="宋体" w:hAnsi="宋体" w:cs="宋体"/>
                <w:color w:val="000000"/>
                <w:kern w:val="0"/>
                <w:sz w:val="18"/>
                <w:szCs w:val="18"/>
              </w:rPr>
              <w:t>分。</w:t>
            </w:r>
          </w:p>
          <w:p>
            <w:pPr>
              <w:widowControl/>
              <w:rPr>
                <w:rFonts w:ascii="宋体" w:hAnsi="宋体" w:cs="宋体"/>
                <w:color w:val="000000"/>
                <w:kern w:val="0"/>
                <w:sz w:val="18"/>
                <w:szCs w:val="18"/>
              </w:rPr>
            </w:pPr>
            <w:r>
              <w:rPr>
                <w:rFonts w:hint="eastAsia" w:ascii="宋体" w:hAnsi="宋体" w:cs="宋体"/>
                <w:color w:val="000000"/>
                <w:kern w:val="0"/>
                <w:sz w:val="18"/>
                <w:szCs w:val="18"/>
              </w:rPr>
              <w:t>注：学生作为参与者撰写部分需不少于5万字，且名列编委会。</w:t>
            </w:r>
          </w:p>
        </w:tc>
        <w:tc>
          <w:tcPr>
            <w:tcW w:w="2126" w:type="dxa"/>
            <w:vMerge w:val="continue"/>
            <w:vAlign w:val="center"/>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课题</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研究</w:t>
            </w:r>
          </w:p>
        </w:tc>
        <w:tc>
          <w:tcPr>
            <w:tcW w:w="5103"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国家级：主持计60分，第一、二、三参与人计15、12、9分，第四参与人及以后计6分；</w:t>
            </w:r>
          </w:p>
          <w:p>
            <w:pPr>
              <w:widowControl/>
              <w:rPr>
                <w:rFonts w:ascii="宋体" w:hAnsi="宋体" w:cs="宋体"/>
                <w:color w:val="000000"/>
                <w:kern w:val="0"/>
                <w:sz w:val="18"/>
                <w:szCs w:val="18"/>
              </w:rPr>
            </w:pPr>
            <w:r>
              <w:rPr>
                <w:rFonts w:hint="eastAsia" w:ascii="宋体" w:hAnsi="宋体" w:cs="宋体"/>
                <w:color w:val="000000"/>
                <w:kern w:val="0"/>
                <w:sz w:val="18"/>
                <w:szCs w:val="18"/>
              </w:rPr>
              <w:t>省级：主持计24分，第一、二、三参与人计12、9、6分，第四参与人及以后计3分；</w:t>
            </w:r>
          </w:p>
          <w:p>
            <w:pPr>
              <w:widowControl/>
              <w:rPr>
                <w:rFonts w:ascii="宋体" w:hAnsi="宋体" w:cs="宋体"/>
                <w:color w:val="000000"/>
                <w:kern w:val="0"/>
                <w:sz w:val="18"/>
                <w:szCs w:val="18"/>
              </w:rPr>
            </w:pPr>
            <w:r>
              <w:rPr>
                <w:rFonts w:hint="eastAsia" w:ascii="宋体" w:hAnsi="宋体" w:cs="宋体"/>
                <w:color w:val="000000"/>
                <w:kern w:val="0"/>
                <w:sz w:val="18"/>
                <w:szCs w:val="18"/>
              </w:rPr>
              <w:t>校级：主持计9分，第一、二、三参与人计6、4、2分，第四参与人及以后计1分；</w:t>
            </w:r>
          </w:p>
          <w:p>
            <w:pPr>
              <w:widowControl/>
              <w:rPr>
                <w:rFonts w:ascii="宋体" w:hAnsi="宋体" w:cs="宋体"/>
                <w:color w:val="000000"/>
                <w:kern w:val="0"/>
                <w:sz w:val="18"/>
                <w:szCs w:val="18"/>
              </w:rPr>
            </w:pPr>
            <w:r>
              <w:rPr>
                <w:rFonts w:hint="eastAsia" w:ascii="宋体" w:hAnsi="宋体" w:cs="宋体"/>
                <w:color w:val="000000"/>
                <w:kern w:val="0"/>
                <w:sz w:val="18"/>
                <w:szCs w:val="18"/>
              </w:rPr>
              <w:t>横向：学院研究生奖学金评审委员会审核课题级别和参与程度进行赋分。</w:t>
            </w:r>
          </w:p>
          <w:p>
            <w:pPr>
              <w:widowControl/>
              <w:rPr>
                <w:rFonts w:ascii="宋体" w:hAnsi="宋体" w:cs="宋体"/>
                <w:color w:val="000000"/>
                <w:kern w:val="0"/>
                <w:sz w:val="18"/>
                <w:szCs w:val="18"/>
              </w:rPr>
            </w:pPr>
            <w:r>
              <w:rPr>
                <w:rFonts w:hint="eastAsia" w:ascii="宋体" w:hAnsi="宋体" w:cs="宋体"/>
                <w:color w:val="000000"/>
                <w:kern w:val="0"/>
                <w:sz w:val="18"/>
                <w:szCs w:val="18"/>
              </w:rPr>
              <w:t>注：</w:t>
            </w:r>
          </w:p>
          <w:p>
            <w:pPr>
              <w:widowControl/>
              <w:rPr>
                <w:rFonts w:ascii="宋体" w:hAnsi="宋体" w:cs="宋体"/>
                <w:color w:val="000000"/>
                <w:kern w:val="0"/>
                <w:sz w:val="18"/>
                <w:szCs w:val="18"/>
              </w:rPr>
            </w:pPr>
            <w:r>
              <w:rPr>
                <w:rFonts w:hint="eastAsia" w:ascii="宋体" w:hAnsi="宋体" w:cs="宋体"/>
                <w:color w:val="000000"/>
                <w:kern w:val="0"/>
                <w:sz w:val="18"/>
                <w:szCs w:val="18"/>
              </w:rPr>
              <w:t>学生参与课题的主持人仅限本院教师，教师以课题为单位开具学生参与程度证明。</w:t>
            </w:r>
          </w:p>
          <w:p>
            <w:pPr>
              <w:widowControl/>
              <w:rPr>
                <w:rFonts w:ascii="宋体" w:hAnsi="宋体" w:cs="宋体"/>
                <w:color w:val="000000"/>
                <w:kern w:val="0"/>
                <w:sz w:val="18"/>
                <w:szCs w:val="18"/>
              </w:rPr>
            </w:pPr>
            <w:r>
              <w:rPr>
                <w:rFonts w:hint="eastAsia" w:ascii="宋体" w:hAnsi="宋体" w:cs="宋体"/>
                <w:color w:val="000000"/>
                <w:kern w:val="0"/>
                <w:sz w:val="18"/>
                <w:szCs w:val="18"/>
              </w:rPr>
              <w:t>学生作为主持人所获计分不限；作为参与人所获计分不超过2项。</w:t>
            </w:r>
          </w:p>
        </w:tc>
        <w:tc>
          <w:tcPr>
            <w:tcW w:w="2126" w:type="dxa"/>
            <w:vMerge w:val="continue"/>
            <w:vAlign w:val="center"/>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学术会议报告</w:t>
            </w:r>
          </w:p>
        </w:tc>
        <w:tc>
          <w:tcPr>
            <w:tcW w:w="5103"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学院研究生奖学金评审委员会审核会议级别和学生参与程度进行赋分。国家级（含国际）计12分；省级计9分；校级计6分。（参与部属院校或经学院奖学金评定工作小组认可的其他院校组织的暑期社会学校计6分）</w:t>
            </w:r>
          </w:p>
          <w:p>
            <w:pPr>
              <w:widowControl/>
              <w:rPr>
                <w:rFonts w:ascii="宋体" w:hAnsi="宋体" w:cs="宋体"/>
                <w:color w:val="000000"/>
                <w:kern w:val="0"/>
                <w:sz w:val="18"/>
                <w:szCs w:val="18"/>
              </w:rPr>
            </w:pPr>
            <w:r>
              <w:rPr>
                <w:rFonts w:hint="eastAsia" w:ascii="宋体" w:hAnsi="宋体" w:cs="宋体"/>
                <w:color w:val="000000"/>
                <w:kern w:val="0"/>
                <w:sz w:val="18"/>
                <w:szCs w:val="18"/>
              </w:rPr>
              <w:t>注：</w:t>
            </w:r>
          </w:p>
          <w:p>
            <w:pPr>
              <w:widowControl/>
              <w:rPr>
                <w:rFonts w:ascii="宋体" w:hAnsi="宋体" w:cs="宋体"/>
                <w:color w:val="000000"/>
                <w:kern w:val="0"/>
                <w:sz w:val="18"/>
                <w:szCs w:val="18"/>
              </w:rPr>
            </w:pPr>
            <w:r>
              <w:rPr>
                <w:rFonts w:hint="eastAsia" w:ascii="宋体" w:hAnsi="宋体" w:cs="宋体"/>
                <w:color w:val="000000"/>
                <w:kern w:val="0"/>
                <w:sz w:val="18"/>
                <w:szCs w:val="18"/>
              </w:rPr>
              <w:t>参与学术会议需收录论文，未有论文收录的不计分。</w:t>
            </w:r>
          </w:p>
          <w:p>
            <w:pPr>
              <w:widowControl/>
              <w:rPr>
                <w:rFonts w:ascii="宋体" w:hAnsi="宋体" w:cs="宋体"/>
                <w:color w:val="000000"/>
                <w:kern w:val="0"/>
                <w:sz w:val="18"/>
                <w:szCs w:val="18"/>
              </w:rPr>
            </w:pPr>
            <w:r>
              <w:rPr>
                <w:rFonts w:hint="eastAsia" w:ascii="宋体" w:hAnsi="宋体" w:cs="宋体"/>
                <w:color w:val="000000"/>
                <w:kern w:val="0"/>
                <w:sz w:val="18"/>
                <w:szCs w:val="18"/>
              </w:rPr>
              <w:t>学生参与学术会议所获计分不超过2项。</w:t>
            </w:r>
          </w:p>
        </w:tc>
        <w:tc>
          <w:tcPr>
            <w:tcW w:w="2126" w:type="dxa"/>
            <w:vMerge w:val="continue"/>
            <w:vAlign w:val="center"/>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学科</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竞赛</w:t>
            </w:r>
          </w:p>
        </w:tc>
        <w:tc>
          <w:tcPr>
            <w:tcW w:w="5103"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学科竞赛奖励计分办法详见附件二。</w:t>
            </w:r>
          </w:p>
        </w:tc>
        <w:tc>
          <w:tcPr>
            <w:tcW w:w="2126" w:type="dxa"/>
            <w:vMerge w:val="continue"/>
            <w:vAlign w:val="center"/>
          </w:tcPr>
          <w:p>
            <w:pPr>
              <w:widowControl/>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学术</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讲座</w:t>
            </w:r>
          </w:p>
        </w:tc>
        <w:tc>
          <w:tcPr>
            <w:tcW w:w="5103"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本学年内参与讲座最多的同学计</w:t>
            </w:r>
            <w:r>
              <w:rPr>
                <w:rFonts w:ascii="宋体" w:hAnsi="宋体" w:cs="宋体"/>
                <w:color w:val="000000"/>
                <w:kern w:val="0"/>
                <w:sz w:val="18"/>
                <w:szCs w:val="18"/>
              </w:rPr>
              <w:t>40</w:t>
            </w:r>
            <w:r>
              <w:rPr>
                <w:rFonts w:hint="eastAsia" w:ascii="宋体" w:hAnsi="宋体" w:cs="宋体"/>
                <w:color w:val="000000"/>
                <w:kern w:val="0"/>
                <w:sz w:val="18"/>
                <w:szCs w:val="18"/>
              </w:rPr>
              <w:t>分，设该同学参与Y次讲座，甲同学参与X次讲座，则甲同学计（X/Y*</w:t>
            </w:r>
            <w:r>
              <w:rPr>
                <w:rFonts w:ascii="宋体" w:hAnsi="宋体" w:cs="宋体"/>
                <w:color w:val="000000"/>
                <w:kern w:val="0"/>
                <w:sz w:val="18"/>
                <w:szCs w:val="18"/>
              </w:rPr>
              <w:t>40</w:t>
            </w:r>
            <w:r>
              <w:rPr>
                <w:rFonts w:hint="eastAsia" w:ascii="宋体" w:hAnsi="宋体" w:cs="宋体"/>
                <w:color w:val="000000"/>
                <w:kern w:val="0"/>
                <w:sz w:val="18"/>
                <w:szCs w:val="18"/>
              </w:rPr>
              <w:t>）分。</w:t>
            </w:r>
          </w:p>
          <w:p>
            <w:pPr>
              <w:widowControl/>
              <w:rPr>
                <w:rFonts w:ascii="宋体" w:hAnsi="宋体" w:cs="宋体"/>
                <w:color w:val="000000"/>
                <w:kern w:val="0"/>
                <w:sz w:val="18"/>
                <w:szCs w:val="18"/>
              </w:rPr>
            </w:pPr>
            <w:r>
              <w:rPr>
                <w:rFonts w:hint="eastAsia" w:ascii="宋体" w:hAnsi="宋体" w:cs="宋体"/>
                <w:color w:val="000000"/>
                <w:kern w:val="0"/>
                <w:sz w:val="18"/>
                <w:szCs w:val="18"/>
              </w:rPr>
              <w:t>注：</w:t>
            </w:r>
          </w:p>
          <w:p>
            <w:pPr>
              <w:widowControl/>
              <w:rPr>
                <w:rFonts w:ascii="宋体" w:hAnsi="宋体" w:cs="宋体"/>
                <w:color w:val="FF0000"/>
                <w:kern w:val="0"/>
                <w:sz w:val="18"/>
                <w:szCs w:val="18"/>
              </w:rPr>
            </w:pPr>
            <w:r>
              <w:rPr>
                <w:rFonts w:hint="eastAsia" w:ascii="宋体" w:hAnsi="宋体" w:cs="宋体"/>
                <w:color w:val="000000"/>
                <w:kern w:val="0"/>
                <w:sz w:val="18"/>
                <w:szCs w:val="18"/>
              </w:rPr>
              <w:t>院研会学术部承担每次讲座的签到签退工作，并进行公示。</w:t>
            </w:r>
          </w:p>
        </w:tc>
        <w:tc>
          <w:tcPr>
            <w:tcW w:w="2126" w:type="dxa"/>
            <w:vMerge w:val="continue"/>
            <w:vAlign w:val="center"/>
          </w:tcPr>
          <w:p>
            <w:pPr>
              <w:widowControl/>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continue"/>
            <w:shd w:val="clear" w:color="auto" w:fill="auto"/>
            <w:vAlign w:val="center"/>
          </w:tcPr>
          <w:p>
            <w:pPr>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Merge w:val="continue"/>
            <w:vAlign w:val="center"/>
          </w:tcPr>
          <w:p>
            <w:pPr>
              <w:widowControl/>
              <w:jc w:val="center"/>
              <w:rPr>
                <w:rFonts w:ascii="宋体" w:hAnsi="宋体" w:cs="宋体"/>
                <w:color w:val="000000"/>
                <w:kern w:val="0"/>
                <w:sz w:val="18"/>
                <w:szCs w:val="18"/>
              </w:rPr>
            </w:pP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国际</w:t>
            </w:r>
          </w:p>
          <w:p>
            <w:pPr>
              <w:widowControl/>
              <w:jc w:val="center"/>
              <w:rPr>
                <w:rFonts w:ascii="宋体" w:hAnsi="宋体" w:cs="宋体"/>
                <w:color w:val="FF0000"/>
                <w:kern w:val="0"/>
                <w:sz w:val="18"/>
                <w:szCs w:val="18"/>
              </w:rPr>
            </w:pPr>
            <w:r>
              <w:rPr>
                <w:rFonts w:hint="eastAsia" w:ascii="宋体" w:hAnsi="宋体" w:cs="宋体"/>
                <w:color w:val="000000"/>
                <w:kern w:val="0"/>
                <w:sz w:val="18"/>
                <w:szCs w:val="18"/>
              </w:rPr>
              <w:t>视野</w:t>
            </w:r>
          </w:p>
        </w:tc>
        <w:tc>
          <w:tcPr>
            <w:tcW w:w="5103" w:type="dxa"/>
            <w:vAlign w:val="center"/>
          </w:tcPr>
          <w:p>
            <w:pPr>
              <w:widowControl/>
              <w:rPr>
                <w:rFonts w:ascii="宋体" w:hAnsi="宋体" w:cs="宋体"/>
                <w:kern w:val="0"/>
                <w:sz w:val="18"/>
                <w:szCs w:val="18"/>
              </w:rPr>
            </w:pPr>
            <w:r>
              <w:rPr>
                <w:rFonts w:hint="eastAsia" w:ascii="宋体" w:hAnsi="宋体" w:cs="宋体"/>
                <w:kern w:val="0"/>
                <w:sz w:val="18"/>
                <w:szCs w:val="18"/>
              </w:rPr>
              <w:t>国（境）外研修学习，国家留学基金资助计</w:t>
            </w:r>
            <w:r>
              <w:rPr>
                <w:rFonts w:ascii="宋体" w:hAnsi="宋体" w:cs="宋体"/>
                <w:kern w:val="0"/>
                <w:sz w:val="18"/>
                <w:szCs w:val="18"/>
              </w:rPr>
              <w:t>40</w:t>
            </w:r>
            <w:r>
              <w:rPr>
                <w:rFonts w:hint="eastAsia" w:ascii="宋体" w:hAnsi="宋体" w:cs="宋体"/>
                <w:kern w:val="0"/>
                <w:sz w:val="18"/>
                <w:szCs w:val="18"/>
              </w:rPr>
              <w:t>分；经国际交流部备案获得外方资助计3</w:t>
            </w:r>
            <w:r>
              <w:rPr>
                <w:rFonts w:ascii="宋体" w:hAnsi="宋体" w:cs="宋体"/>
                <w:kern w:val="0"/>
                <w:sz w:val="18"/>
                <w:szCs w:val="18"/>
              </w:rPr>
              <w:t>0</w:t>
            </w:r>
            <w:r>
              <w:rPr>
                <w:rFonts w:hint="eastAsia" w:ascii="宋体" w:hAnsi="宋体" w:cs="宋体"/>
                <w:kern w:val="0"/>
                <w:sz w:val="18"/>
                <w:szCs w:val="18"/>
              </w:rPr>
              <w:t>分；学生自费计2</w:t>
            </w:r>
            <w:r>
              <w:rPr>
                <w:rFonts w:ascii="宋体" w:hAnsi="宋体" w:cs="宋体"/>
                <w:kern w:val="0"/>
                <w:sz w:val="18"/>
                <w:szCs w:val="18"/>
              </w:rPr>
              <w:t>0</w:t>
            </w:r>
            <w:r>
              <w:rPr>
                <w:rFonts w:hint="eastAsia" w:ascii="宋体" w:hAnsi="宋体" w:cs="宋体"/>
                <w:kern w:val="0"/>
                <w:sz w:val="18"/>
                <w:szCs w:val="18"/>
              </w:rPr>
              <w:t>分。</w:t>
            </w:r>
          </w:p>
          <w:p>
            <w:pPr>
              <w:widowControl/>
              <w:rPr>
                <w:rFonts w:ascii="宋体" w:hAnsi="宋体" w:cs="宋体"/>
                <w:kern w:val="0"/>
                <w:sz w:val="18"/>
                <w:szCs w:val="18"/>
              </w:rPr>
            </w:pPr>
            <w:r>
              <w:rPr>
                <w:rFonts w:hint="eastAsia" w:ascii="宋体" w:hAnsi="宋体" w:cs="宋体"/>
                <w:kern w:val="0"/>
                <w:sz w:val="18"/>
                <w:szCs w:val="18"/>
              </w:rPr>
              <w:t>注：</w:t>
            </w:r>
          </w:p>
          <w:p>
            <w:pPr>
              <w:widowControl/>
              <w:rPr>
                <w:rFonts w:ascii="宋体" w:hAnsi="宋体" w:cs="宋体"/>
                <w:kern w:val="0"/>
                <w:sz w:val="18"/>
                <w:szCs w:val="18"/>
              </w:rPr>
            </w:pPr>
            <w:r>
              <w:rPr>
                <w:rFonts w:hint="eastAsia" w:ascii="宋体" w:hAnsi="宋体" w:cs="宋体"/>
                <w:kern w:val="0"/>
                <w:sz w:val="18"/>
                <w:szCs w:val="18"/>
              </w:rPr>
              <w:t>研修学习时间不得少于三个月。</w:t>
            </w:r>
          </w:p>
          <w:p>
            <w:pPr>
              <w:widowControl/>
              <w:rPr>
                <w:rFonts w:ascii="宋体" w:hAnsi="宋体" w:cs="宋体"/>
                <w:kern w:val="0"/>
                <w:sz w:val="18"/>
                <w:szCs w:val="18"/>
              </w:rPr>
            </w:pPr>
            <w:r>
              <w:rPr>
                <w:rFonts w:hint="eastAsia" w:ascii="宋体" w:hAnsi="宋体" w:cs="宋体"/>
                <w:kern w:val="0"/>
                <w:sz w:val="18"/>
                <w:szCs w:val="18"/>
              </w:rPr>
              <w:t>赴国际组织实习且顺利完成实习周期的计4</w:t>
            </w:r>
            <w:r>
              <w:rPr>
                <w:rFonts w:ascii="宋体" w:hAnsi="宋体" w:cs="宋体"/>
                <w:kern w:val="0"/>
                <w:sz w:val="18"/>
                <w:szCs w:val="18"/>
              </w:rPr>
              <w:t>0</w:t>
            </w:r>
            <w:r>
              <w:rPr>
                <w:rFonts w:hint="eastAsia" w:ascii="宋体" w:hAnsi="宋体" w:cs="宋体"/>
                <w:kern w:val="0"/>
                <w:sz w:val="18"/>
                <w:szCs w:val="18"/>
              </w:rPr>
              <w:t>分。</w:t>
            </w:r>
          </w:p>
        </w:tc>
        <w:tc>
          <w:tcPr>
            <w:tcW w:w="2126" w:type="dxa"/>
            <w:vMerge w:val="continue"/>
            <w:vAlign w:val="center"/>
          </w:tcPr>
          <w:p>
            <w:pPr>
              <w:widowControl/>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restart"/>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体育评价5%</w:t>
            </w: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基本素质评价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修读课程</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参与活动</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在评价周期内，完成以下项目中的任意一项，可评定为“合格”等级：</w:t>
            </w:r>
          </w:p>
          <w:p>
            <w:pPr>
              <w:widowControl/>
              <w:rPr>
                <w:rFonts w:ascii="宋体" w:hAnsi="宋体" w:cs="宋体"/>
                <w:color w:val="000000"/>
                <w:kern w:val="0"/>
                <w:sz w:val="18"/>
                <w:szCs w:val="18"/>
              </w:rPr>
            </w:pPr>
            <w:r>
              <w:rPr>
                <w:rFonts w:hint="eastAsia" w:ascii="宋体" w:hAnsi="宋体" w:cs="宋体"/>
                <w:color w:val="000000"/>
                <w:kern w:val="0"/>
                <w:sz w:val="18"/>
                <w:szCs w:val="18"/>
              </w:rPr>
              <w:t>1.选修一门体育课程且考核合格；</w:t>
            </w:r>
          </w:p>
          <w:p>
            <w:pPr>
              <w:widowControl/>
              <w:rPr>
                <w:rFonts w:ascii="宋体" w:hAnsi="宋体" w:cs="宋体"/>
                <w:color w:val="000000"/>
                <w:kern w:val="0"/>
                <w:sz w:val="18"/>
                <w:szCs w:val="18"/>
              </w:rPr>
            </w:pPr>
            <w:r>
              <w:rPr>
                <w:rFonts w:hint="eastAsia" w:ascii="宋体" w:hAnsi="宋体" w:cs="宋体"/>
                <w:color w:val="000000"/>
                <w:kern w:val="0"/>
                <w:sz w:val="18"/>
                <w:szCs w:val="18"/>
              </w:rPr>
              <w:t>2.参加“青研杯”体育赛事、“中原杯”阳光长跑、校运动会等校级体育比赛竞赛一次以上；</w:t>
            </w:r>
          </w:p>
          <w:p>
            <w:pPr>
              <w:widowControl/>
              <w:rPr>
                <w:rFonts w:ascii="宋体" w:hAnsi="宋体" w:cs="宋体"/>
                <w:color w:val="000000"/>
                <w:kern w:val="0"/>
                <w:sz w:val="18"/>
                <w:szCs w:val="18"/>
              </w:rPr>
            </w:pPr>
            <w:r>
              <w:rPr>
                <w:rFonts w:hint="eastAsia" w:ascii="宋体" w:hAnsi="宋体" w:cs="宋体"/>
                <w:color w:val="000000"/>
                <w:kern w:val="0"/>
                <w:sz w:val="18"/>
                <w:szCs w:val="18"/>
              </w:rPr>
              <w:t>3.自行开展体育锻炼，每周参加体育锻炼不少于三次，单次运动时长不少于半小时；</w:t>
            </w:r>
          </w:p>
          <w:p>
            <w:pPr>
              <w:widowControl/>
              <w:rPr>
                <w:rFonts w:ascii="宋体" w:hAnsi="宋体" w:cs="宋体"/>
                <w:color w:val="000000"/>
                <w:kern w:val="0"/>
                <w:sz w:val="18"/>
                <w:szCs w:val="18"/>
              </w:rPr>
            </w:pPr>
            <w:r>
              <w:rPr>
                <w:rFonts w:hint="eastAsia" w:ascii="宋体" w:hAnsi="宋体" w:cs="宋体"/>
                <w:color w:val="000000"/>
                <w:kern w:val="0"/>
                <w:sz w:val="18"/>
                <w:szCs w:val="18"/>
              </w:rPr>
              <w:t>4.自愿参加大学生体质测试，且成绩及格；</w:t>
            </w:r>
          </w:p>
          <w:p>
            <w:pPr>
              <w:widowControl/>
              <w:rPr>
                <w:rFonts w:ascii="宋体" w:hAnsi="宋体" w:cs="宋体"/>
                <w:color w:val="000000"/>
                <w:kern w:val="0"/>
                <w:sz w:val="18"/>
                <w:szCs w:val="18"/>
              </w:rPr>
            </w:pPr>
            <w:r>
              <w:rPr>
                <w:rFonts w:hint="eastAsia" w:ascii="宋体" w:hAnsi="宋体" w:cs="宋体"/>
                <w:color w:val="000000"/>
                <w:kern w:val="0"/>
                <w:sz w:val="18"/>
                <w:szCs w:val="18"/>
              </w:rPr>
              <w:t>5.学院认定的体育基本素质合格的项目。</w:t>
            </w:r>
          </w:p>
        </w:tc>
        <w:tc>
          <w:tcPr>
            <w:tcW w:w="2126"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班组评价-辅导员审核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Merge w:val="restart"/>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体育竞</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赛获奖</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国家级一、二、三等奖、优秀奖分别计100分、95分、90分、85分；</w:t>
            </w:r>
          </w:p>
          <w:p>
            <w:pPr>
              <w:widowControl/>
              <w:rPr>
                <w:rFonts w:ascii="宋体" w:hAnsi="宋体" w:cs="宋体"/>
                <w:color w:val="000000"/>
                <w:kern w:val="0"/>
                <w:sz w:val="18"/>
                <w:szCs w:val="18"/>
              </w:rPr>
            </w:pPr>
            <w:r>
              <w:rPr>
                <w:rFonts w:hint="eastAsia" w:ascii="宋体" w:hAnsi="宋体" w:cs="宋体"/>
                <w:color w:val="000000"/>
                <w:kern w:val="0"/>
                <w:sz w:val="18"/>
                <w:szCs w:val="18"/>
              </w:rPr>
              <w:t>省级一、二、三等奖、优秀奖分别计80分、75分、70分、65分；</w:t>
            </w:r>
          </w:p>
          <w:p>
            <w:pPr>
              <w:widowControl/>
              <w:rPr>
                <w:rFonts w:ascii="宋体" w:hAnsi="宋体" w:cs="宋体"/>
                <w:color w:val="000000"/>
                <w:kern w:val="0"/>
                <w:sz w:val="18"/>
                <w:szCs w:val="18"/>
              </w:rPr>
            </w:pPr>
            <w:r>
              <w:rPr>
                <w:rFonts w:hint="eastAsia" w:ascii="宋体" w:hAnsi="宋体" w:cs="宋体"/>
                <w:color w:val="000000"/>
                <w:kern w:val="0"/>
                <w:sz w:val="18"/>
                <w:szCs w:val="18"/>
              </w:rPr>
              <w:t>市级一、二、三等奖、优秀奖分别计60分、55分、50分、45分；</w:t>
            </w:r>
          </w:p>
          <w:p>
            <w:pPr>
              <w:widowControl/>
              <w:rPr>
                <w:rFonts w:ascii="宋体" w:hAnsi="宋体" w:cs="宋体"/>
                <w:color w:val="000000"/>
                <w:kern w:val="0"/>
                <w:sz w:val="18"/>
                <w:szCs w:val="18"/>
              </w:rPr>
            </w:pPr>
            <w:r>
              <w:rPr>
                <w:rFonts w:hint="eastAsia" w:ascii="宋体" w:hAnsi="宋体" w:cs="宋体"/>
                <w:color w:val="000000"/>
                <w:kern w:val="0"/>
                <w:sz w:val="18"/>
                <w:szCs w:val="18"/>
              </w:rPr>
              <w:t>校级一、二、三等奖、优秀奖分别计40分、35分、30分、25分；</w:t>
            </w:r>
          </w:p>
          <w:p>
            <w:pPr>
              <w:widowControl/>
              <w:rPr>
                <w:rFonts w:ascii="宋体" w:hAnsi="宋体" w:cs="宋体"/>
                <w:color w:val="000000"/>
                <w:kern w:val="0"/>
                <w:sz w:val="18"/>
                <w:szCs w:val="18"/>
              </w:rPr>
            </w:pPr>
            <w:r>
              <w:rPr>
                <w:rFonts w:hint="eastAsia" w:ascii="宋体" w:hAnsi="宋体" w:cs="宋体"/>
                <w:color w:val="000000"/>
                <w:kern w:val="0"/>
                <w:sz w:val="18"/>
                <w:szCs w:val="18"/>
              </w:rPr>
              <w:t>院级一、二、三等奖、优秀奖分别计20分、15分、10分、5分。</w:t>
            </w:r>
          </w:p>
        </w:tc>
        <w:tc>
          <w:tcPr>
            <w:tcW w:w="2126" w:type="dxa"/>
            <w:vMerge w:val="restart"/>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研究生个人申报-班级考评小组审核-学院复核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Merge w:val="continue"/>
            <w:vAlign w:val="center"/>
          </w:tcPr>
          <w:p>
            <w:pPr>
              <w:widowControl/>
              <w:jc w:val="center"/>
              <w:rPr>
                <w:rFonts w:ascii="宋体" w:hAnsi="宋体" w:cs="宋体"/>
                <w:b/>
                <w:bCs/>
                <w:color w:val="000000"/>
                <w:kern w:val="0"/>
                <w:sz w:val="18"/>
                <w:szCs w:val="18"/>
              </w:rPr>
            </w:pP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体质测试</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获评“优秀”等级计3</w:t>
            </w:r>
            <w:r>
              <w:rPr>
                <w:rFonts w:ascii="宋体" w:hAnsi="宋体" w:cs="宋体"/>
                <w:color w:val="000000"/>
                <w:kern w:val="0"/>
                <w:sz w:val="18"/>
                <w:szCs w:val="18"/>
              </w:rPr>
              <w:t>0</w:t>
            </w:r>
            <w:r>
              <w:rPr>
                <w:rFonts w:hint="eastAsia" w:ascii="宋体" w:hAnsi="宋体" w:cs="宋体"/>
                <w:color w:val="000000"/>
                <w:kern w:val="0"/>
                <w:sz w:val="18"/>
                <w:szCs w:val="18"/>
              </w:rPr>
              <w:t>分。</w:t>
            </w:r>
          </w:p>
        </w:tc>
        <w:tc>
          <w:tcPr>
            <w:tcW w:w="2126" w:type="dxa"/>
            <w:vMerge w:val="continue"/>
            <w:vAlign w:val="center"/>
          </w:tcPr>
          <w:p>
            <w:pPr>
              <w:widowControl/>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restart"/>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美育评价5%</w:t>
            </w: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基本素质评价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修读课程</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开展实践</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在评价周期内，完成以下项目中的任意一项，可评定为“合格”等级：</w:t>
            </w:r>
          </w:p>
          <w:p>
            <w:pPr>
              <w:widowControl/>
              <w:rPr>
                <w:rFonts w:ascii="宋体" w:hAnsi="宋体" w:cs="宋体"/>
                <w:color w:val="000000"/>
                <w:kern w:val="0"/>
                <w:sz w:val="18"/>
                <w:szCs w:val="18"/>
              </w:rPr>
            </w:pPr>
            <w:r>
              <w:rPr>
                <w:rFonts w:hint="eastAsia" w:ascii="宋体" w:hAnsi="宋体" w:cs="宋体"/>
                <w:color w:val="000000"/>
                <w:kern w:val="0"/>
                <w:sz w:val="18"/>
                <w:szCs w:val="18"/>
              </w:rPr>
              <w:t>1.在读期间选修美育相关课程，且考核合格；</w:t>
            </w:r>
          </w:p>
          <w:p>
            <w:pPr>
              <w:widowControl/>
              <w:rPr>
                <w:rFonts w:ascii="宋体" w:hAnsi="宋体" w:cs="宋体"/>
                <w:color w:val="000000"/>
                <w:kern w:val="0"/>
                <w:sz w:val="18"/>
                <w:szCs w:val="18"/>
              </w:rPr>
            </w:pPr>
            <w:r>
              <w:rPr>
                <w:rFonts w:hint="eastAsia" w:ascii="宋体" w:hAnsi="宋体" w:cs="宋体"/>
                <w:color w:val="000000"/>
                <w:kern w:val="0"/>
                <w:sz w:val="18"/>
                <w:szCs w:val="18"/>
              </w:rPr>
              <w:t>2.完成线上公共艺术MOOC课程学习，且考核合格；</w:t>
            </w:r>
          </w:p>
          <w:p>
            <w:pPr>
              <w:widowControl/>
              <w:rPr>
                <w:rFonts w:ascii="宋体" w:hAnsi="宋体" w:cs="宋体"/>
                <w:color w:val="000000"/>
                <w:kern w:val="0"/>
                <w:sz w:val="18"/>
                <w:szCs w:val="18"/>
              </w:rPr>
            </w:pPr>
            <w:r>
              <w:rPr>
                <w:rFonts w:hint="eastAsia" w:ascii="宋体" w:hAnsi="宋体" w:cs="宋体"/>
                <w:color w:val="000000"/>
                <w:kern w:val="0"/>
                <w:sz w:val="18"/>
                <w:szCs w:val="18"/>
              </w:rPr>
              <w:t>3.每学期参加至少一次美学欣赏或“高雅艺术进校园”等艺术类讲座、音乐会等；</w:t>
            </w:r>
          </w:p>
          <w:p>
            <w:pPr>
              <w:widowControl/>
              <w:rPr>
                <w:rFonts w:ascii="宋体" w:hAnsi="宋体" w:cs="宋体"/>
                <w:color w:val="000000"/>
                <w:kern w:val="0"/>
                <w:sz w:val="18"/>
                <w:szCs w:val="18"/>
              </w:rPr>
            </w:pPr>
            <w:r>
              <w:rPr>
                <w:rFonts w:hint="eastAsia" w:ascii="宋体" w:hAnsi="宋体" w:cs="宋体"/>
                <w:color w:val="000000"/>
                <w:kern w:val="0"/>
                <w:sz w:val="18"/>
                <w:szCs w:val="18"/>
              </w:rPr>
              <w:t>4.参加院校级别及以上文艺赛事一次；</w:t>
            </w:r>
          </w:p>
          <w:p>
            <w:pPr>
              <w:widowControl/>
              <w:rPr>
                <w:rFonts w:ascii="宋体" w:hAnsi="宋体" w:cs="宋体"/>
                <w:color w:val="000000"/>
                <w:kern w:val="0"/>
                <w:sz w:val="18"/>
                <w:szCs w:val="18"/>
              </w:rPr>
            </w:pPr>
            <w:r>
              <w:rPr>
                <w:rFonts w:hint="eastAsia" w:ascii="宋体" w:hAnsi="宋体" w:cs="宋体"/>
                <w:color w:val="000000"/>
                <w:kern w:val="0"/>
                <w:sz w:val="18"/>
                <w:szCs w:val="18"/>
              </w:rPr>
              <w:t>5.学院认定的美育基本素质合格的项目。</w:t>
            </w:r>
          </w:p>
        </w:tc>
        <w:tc>
          <w:tcPr>
            <w:tcW w:w="2126"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班组评价-辅导员审核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文艺实</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践成果</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国家级一、二、三等奖、优秀奖分别计100分、95分、90分、85分；</w:t>
            </w:r>
          </w:p>
          <w:p>
            <w:pPr>
              <w:widowControl/>
              <w:rPr>
                <w:rFonts w:ascii="宋体" w:hAnsi="宋体" w:cs="宋体"/>
                <w:color w:val="000000"/>
                <w:kern w:val="0"/>
                <w:sz w:val="18"/>
                <w:szCs w:val="18"/>
              </w:rPr>
            </w:pPr>
            <w:r>
              <w:rPr>
                <w:rFonts w:hint="eastAsia" w:ascii="宋体" w:hAnsi="宋体" w:cs="宋体"/>
                <w:color w:val="000000"/>
                <w:kern w:val="0"/>
                <w:sz w:val="18"/>
                <w:szCs w:val="18"/>
              </w:rPr>
              <w:t>省级一、二、三等奖、优秀奖分别计80分、75分、70分、65分；</w:t>
            </w:r>
          </w:p>
          <w:p>
            <w:pPr>
              <w:widowControl/>
              <w:rPr>
                <w:rFonts w:ascii="宋体" w:hAnsi="宋体" w:cs="宋体"/>
                <w:color w:val="000000"/>
                <w:kern w:val="0"/>
                <w:sz w:val="18"/>
                <w:szCs w:val="18"/>
              </w:rPr>
            </w:pPr>
            <w:r>
              <w:rPr>
                <w:rFonts w:hint="eastAsia" w:ascii="宋体" w:hAnsi="宋体" w:cs="宋体"/>
                <w:color w:val="000000"/>
                <w:kern w:val="0"/>
                <w:sz w:val="18"/>
                <w:szCs w:val="18"/>
              </w:rPr>
              <w:t>市级一、二、三等奖、优秀奖分别计60分、55分、50分、45分；</w:t>
            </w:r>
          </w:p>
          <w:p>
            <w:pPr>
              <w:widowControl/>
              <w:rPr>
                <w:rFonts w:ascii="宋体" w:hAnsi="宋体" w:cs="宋体"/>
                <w:color w:val="000000"/>
                <w:kern w:val="0"/>
                <w:sz w:val="18"/>
                <w:szCs w:val="18"/>
              </w:rPr>
            </w:pPr>
            <w:r>
              <w:rPr>
                <w:rFonts w:hint="eastAsia" w:ascii="宋体" w:hAnsi="宋体" w:cs="宋体"/>
                <w:color w:val="000000"/>
                <w:kern w:val="0"/>
                <w:sz w:val="18"/>
                <w:szCs w:val="18"/>
              </w:rPr>
              <w:t>校级一、二、三等奖、优秀奖分别计40分、35分、30分、25分；</w:t>
            </w:r>
          </w:p>
          <w:p>
            <w:pPr>
              <w:widowControl/>
              <w:rPr>
                <w:rFonts w:ascii="宋体" w:hAnsi="宋体" w:cs="宋体"/>
                <w:color w:val="000000"/>
                <w:kern w:val="0"/>
                <w:sz w:val="18"/>
                <w:szCs w:val="18"/>
              </w:rPr>
            </w:pPr>
            <w:r>
              <w:rPr>
                <w:rFonts w:hint="eastAsia" w:ascii="宋体" w:hAnsi="宋体" w:cs="宋体"/>
                <w:color w:val="000000"/>
                <w:kern w:val="0"/>
                <w:sz w:val="18"/>
                <w:szCs w:val="18"/>
              </w:rPr>
              <w:t>院级一、二、三等奖、优秀奖分别计20分、15分、10分、5分。</w:t>
            </w:r>
          </w:p>
        </w:tc>
        <w:tc>
          <w:tcPr>
            <w:tcW w:w="2126"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研究生个人申报-班级考评小组审核-学院复核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04" w:type="dxa"/>
            <w:vMerge w:val="restart"/>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劳育评价5%</w:t>
            </w:r>
          </w:p>
        </w:tc>
        <w:tc>
          <w:tcPr>
            <w:tcW w:w="663" w:type="dxa"/>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基本素质评价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劳动表现</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在评价周期内，完成以下项目中的任意二项，可评定为“合格”等级：</w:t>
            </w:r>
          </w:p>
          <w:p>
            <w:pPr>
              <w:widowControl/>
              <w:rPr>
                <w:rFonts w:ascii="宋体" w:hAnsi="宋体" w:cs="宋体"/>
                <w:color w:val="000000"/>
                <w:kern w:val="0"/>
                <w:sz w:val="18"/>
                <w:szCs w:val="18"/>
              </w:rPr>
            </w:pPr>
            <w:r>
              <w:rPr>
                <w:rFonts w:hint="eastAsia" w:ascii="宋体" w:hAnsi="宋体" w:cs="宋体"/>
                <w:color w:val="000000"/>
                <w:kern w:val="0"/>
                <w:sz w:val="18"/>
                <w:szCs w:val="18"/>
              </w:rPr>
              <w:t>1.参与学院认可的、相关企事业单位提供的实习实训且考核合格；</w:t>
            </w:r>
          </w:p>
          <w:p>
            <w:pPr>
              <w:widowControl/>
              <w:rPr>
                <w:rFonts w:ascii="宋体" w:hAnsi="宋体" w:cs="宋体"/>
                <w:color w:val="000000"/>
                <w:kern w:val="0"/>
                <w:sz w:val="18"/>
                <w:szCs w:val="18"/>
              </w:rPr>
            </w:pPr>
            <w:r>
              <w:rPr>
                <w:rFonts w:hint="eastAsia" w:ascii="宋体" w:hAnsi="宋体" w:cs="宋体"/>
                <w:color w:val="000000"/>
                <w:kern w:val="0"/>
                <w:sz w:val="18"/>
                <w:szCs w:val="18"/>
              </w:rPr>
              <w:t>2.</w:t>
            </w:r>
            <w:bookmarkStart w:id="0" w:name="_Hlk97217104"/>
            <w:r>
              <w:rPr>
                <w:rFonts w:hint="eastAsia" w:ascii="宋体" w:hAnsi="宋体" w:cs="宋体"/>
                <w:color w:val="000000"/>
                <w:kern w:val="0"/>
                <w:sz w:val="18"/>
                <w:szCs w:val="18"/>
              </w:rPr>
              <w:t>完成至少8个志愿服务工时（一天），4</w:t>
            </w:r>
            <w:r>
              <w:rPr>
                <w:rFonts w:ascii="宋体" w:hAnsi="宋体" w:cs="宋体"/>
                <w:color w:val="000000"/>
                <w:kern w:val="0"/>
                <w:sz w:val="18"/>
                <w:szCs w:val="18"/>
              </w:rPr>
              <w:t>5</w:t>
            </w:r>
            <w:r>
              <w:rPr>
                <w:rFonts w:hint="eastAsia" w:ascii="宋体" w:hAnsi="宋体" w:cs="宋体"/>
                <w:color w:val="000000"/>
                <w:kern w:val="0"/>
                <w:sz w:val="18"/>
                <w:szCs w:val="18"/>
              </w:rPr>
              <w:t>分钟/工时</w:t>
            </w:r>
            <w:bookmarkEnd w:id="0"/>
            <w:r>
              <w:rPr>
                <w:rFonts w:hint="eastAsia" w:ascii="宋体" w:hAnsi="宋体" w:cs="宋体"/>
                <w:color w:val="000000"/>
                <w:kern w:val="0"/>
                <w:sz w:val="18"/>
                <w:szCs w:val="18"/>
              </w:rPr>
              <w:t>；</w:t>
            </w:r>
          </w:p>
          <w:p>
            <w:pPr>
              <w:widowControl/>
              <w:rPr>
                <w:rFonts w:ascii="宋体" w:hAnsi="宋体" w:cs="宋体"/>
                <w:color w:val="000000"/>
                <w:kern w:val="0"/>
                <w:sz w:val="18"/>
                <w:szCs w:val="18"/>
              </w:rPr>
            </w:pPr>
            <w:r>
              <w:rPr>
                <w:rFonts w:hint="eastAsia" w:ascii="宋体" w:hAnsi="宋体" w:cs="宋体"/>
                <w:color w:val="000000"/>
                <w:kern w:val="0"/>
                <w:sz w:val="18"/>
                <w:szCs w:val="18"/>
              </w:rPr>
              <w:t>3.参加学校组织的劳动实践活动且完成规定工作量；</w:t>
            </w:r>
          </w:p>
          <w:p>
            <w:pPr>
              <w:widowControl/>
              <w:rPr>
                <w:rFonts w:ascii="宋体" w:hAnsi="宋体" w:cs="宋体"/>
                <w:color w:val="000000"/>
                <w:kern w:val="0"/>
                <w:sz w:val="18"/>
                <w:szCs w:val="18"/>
              </w:rPr>
            </w:pPr>
            <w:r>
              <w:rPr>
                <w:rFonts w:hint="eastAsia" w:ascii="宋体" w:hAnsi="宋体" w:cs="宋体"/>
                <w:color w:val="000000"/>
                <w:kern w:val="0"/>
                <w:sz w:val="18"/>
                <w:szCs w:val="18"/>
              </w:rPr>
              <w:t>4.承担研究生“三助”工作满一学期且考核合格；</w:t>
            </w:r>
          </w:p>
          <w:p>
            <w:pPr>
              <w:widowControl/>
              <w:rPr>
                <w:rFonts w:ascii="宋体" w:hAnsi="宋体" w:cs="宋体"/>
                <w:color w:val="000000"/>
                <w:kern w:val="0"/>
                <w:sz w:val="18"/>
                <w:szCs w:val="18"/>
              </w:rPr>
            </w:pPr>
            <w:r>
              <w:rPr>
                <w:rFonts w:hint="eastAsia" w:ascii="宋体" w:hAnsi="宋体" w:cs="宋体"/>
                <w:color w:val="000000"/>
                <w:kern w:val="0"/>
                <w:sz w:val="18"/>
                <w:szCs w:val="18"/>
              </w:rPr>
              <w:t>5.参加院校级及以上劳动技能竞赛一次；</w:t>
            </w:r>
          </w:p>
          <w:p>
            <w:pPr>
              <w:widowControl/>
              <w:rPr>
                <w:rFonts w:ascii="宋体" w:hAnsi="宋体" w:cs="宋体"/>
                <w:color w:val="000000"/>
                <w:kern w:val="0"/>
                <w:sz w:val="18"/>
                <w:szCs w:val="18"/>
              </w:rPr>
            </w:pPr>
            <w:r>
              <w:rPr>
                <w:rFonts w:hint="eastAsia" w:ascii="宋体" w:hAnsi="宋体" w:cs="宋体"/>
                <w:color w:val="000000"/>
                <w:kern w:val="0"/>
                <w:sz w:val="18"/>
                <w:szCs w:val="18"/>
              </w:rPr>
              <w:t>6.学院认定的劳育基本素质合格的项目。</w:t>
            </w:r>
          </w:p>
        </w:tc>
        <w:tc>
          <w:tcPr>
            <w:tcW w:w="2126"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班组评价-辅导员审核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04" w:type="dxa"/>
            <w:vMerge w:val="continue"/>
            <w:shd w:val="clear" w:color="auto" w:fill="auto"/>
            <w:vAlign w:val="center"/>
          </w:tcPr>
          <w:p>
            <w:pPr>
              <w:widowControl/>
              <w:jc w:val="center"/>
              <w:rPr>
                <w:rFonts w:ascii="宋体" w:hAnsi="宋体" w:cs="宋体"/>
                <w:b/>
                <w:bCs/>
                <w:color w:val="000000"/>
                <w:kern w:val="0"/>
                <w:sz w:val="18"/>
                <w:szCs w:val="18"/>
              </w:rPr>
            </w:pPr>
          </w:p>
        </w:tc>
        <w:tc>
          <w:tcPr>
            <w:tcW w:w="663" w:type="dxa"/>
            <w:vMerge w:val="restart"/>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个性能力评价</w:t>
            </w: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社会实践</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项目获奖</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国家级一、二、三等奖、优秀奖分别计100分、95分、90分、85分；</w:t>
            </w:r>
          </w:p>
          <w:p>
            <w:pPr>
              <w:widowControl/>
              <w:rPr>
                <w:rFonts w:ascii="宋体" w:hAnsi="宋体" w:cs="宋体"/>
                <w:color w:val="000000"/>
                <w:kern w:val="0"/>
                <w:sz w:val="18"/>
                <w:szCs w:val="18"/>
              </w:rPr>
            </w:pPr>
            <w:r>
              <w:rPr>
                <w:rFonts w:hint="eastAsia" w:ascii="宋体" w:hAnsi="宋体" w:cs="宋体"/>
                <w:color w:val="000000"/>
                <w:kern w:val="0"/>
                <w:sz w:val="18"/>
                <w:szCs w:val="18"/>
              </w:rPr>
              <w:t>省级一、二、三等奖、优秀奖分别计80分、75分、70分、65分；</w:t>
            </w:r>
          </w:p>
          <w:p>
            <w:pPr>
              <w:widowControl/>
              <w:rPr>
                <w:rFonts w:ascii="宋体" w:hAnsi="宋体" w:cs="宋体"/>
                <w:color w:val="000000"/>
                <w:kern w:val="0"/>
                <w:sz w:val="18"/>
                <w:szCs w:val="18"/>
              </w:rPr>
            </w:pPr>
            <w:r>
              <w:rPr>
                <w:rFonts w:hint="eastAsia" w:ascii="宋体" w:hAnsi="宋体" w:cs="宋体"/>
                <w:color w:val="000000"/>
                <w:kern w:val="0"/>
                <w:sz w:val="18"/>
                <w:szCs w:val="18"/>
              </w:rPr>
              <w:t>市级一、二、三等奖、优秀奖分别计60分、55分、50分、45分；</w:t>
            </w:r>
          </w:p>
          <w:p>
            <w:pPr>
              <w:widowControl/>
              <w:rPr>
                <w:rFonts w:ascii="宋体" w:hAnsi="宋体" w:cs="宋体"/>
                <w:color w:val="000000"/>
                <w:kern w:val="0"/>
                <w:sz w:val="18"/>
                <w:szCs w:val="18"/>
              </w:rPr>
            </w:pPr>
            <w:r>
              <w:rPr>
                <w:rFonts w:hint="eastAsia" w:ascii="宋体" w:hAnsi="宋体" w:cs="宋体"/>
                <w:color w:val="000000"/>
                <w:kern w:val="0"/>
                <w:sz w:val="18"/>
                <w:szCs w:val="18"/>
              </w:rPr>
              <w:t>校级一、二、三等奖、优秀奖分别计40分、35分、30分、25分；</w:t>
            </w:r>
          </w:p>
          <w:p>
            <w:pPr>
              <w:widowControl/>
              <w:rPr>
                <w:rFonts w:ascii="宋体" w:hAnsi="宋体" w:cs="宋体"/>
                <w:color w:val="000000"/>
                <w:kern w:val="0"/>
                <w:sz w:val="18"/>
                <w:szCs w:val="18"/>
              </w:rPr>
            </w:pPr>
            <w:r>
              <w:rPr>
                <w:rFonts w:hint="eastAsia" w:ascii="宋体" w:hAnsi="宋体" w:cs="宋体"/>
                <w:color w:val="000000"/>
                <w:kern w:val="0"/>
                <w:sz w:val="18"/>
                <w:szCs w:val="18"/>
              </w:rPr>
              <w:t>院级一、二、三等奖、优秀奖分别计20分、15分、10分、5分。</w:t>
            </w:r>
          </w:p>
        </w:tc>
        <w:tc>
          <w:tcPr>
            <w:tcW w:w="2126" w:type="dxa"/>
            <w:vMerge w:val="restart"/>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研究生个人申报-班级考评小组审核-学院复核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shd w:val="clear" w:color="auto" w:fill="auto"/>
            <w:vAlign w:val="center"/>
          </w:tcPr>
          <w:p>
            <w:pPr>
              <w:widowControl/>
              <w:rPr>
                <w:rFonts w:ascii="宋体" w:hAnsi="宋体" w:cs="宋体"/>
                <w:b/>
                <w:bCs/>
                <w:color w:val="000000"/>
                <w:kern w:val="0"/>
                <w:sz w:val="18"/>
                <w:szCs w:val="18"/>
              </w:rPr>
            </w:pPr>
          </w:p>
        </w:tc>
        <w:tc>
          <w:tcPr>
            <w:tcW w:w="663" w:type="dxa"/>
            <w:vMerge w:val="continue"/>
            <w:vAlign w:val="center"/>
          </w:tcPr>
          <w:p>
            <w:pPr>
              <w:widowControl/>
              <w:rPr>
                <w:rFonts w:ascii="宋体" w:hAnsi="宋体" w:cs="宋体"/>
                <w:b/>
                <w:bCs/>
                <w:color w:val="000000"/>
                <w:kern w:val="0"/>
                <w:sz w:val="18"/>
                <w:szCs w:val="18"/>
              </w:rPr>
            </w:pP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创新创业</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项目获奖</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国家级一、二、三等奖、优秀奖分别计100分、95分、90分、85分；</w:t>
            </w:r>
          </w:p>
          <w:p>
            <w:pPr>
              <w:widowControl/>
              <w:rPr>
                <w:rFonts w:ascii="宋体" w:hAnsi="宋体" w:cs="宋体"/>
                <w:color w:val="000000"/>
                <w:kern w:val="0"/>
                <w:sz w:val="18"/>
                <w:szCs w:val="18"/>
              </w:rPr>
            </w:pPr>
            <w:r>
              <w:rPr>
                <w:rFonts w:hint="eastAsia" w:ascii="宋体" w:hAnsi="宋体" w:cs="宋体"/>
                <w:color w:val="000000"/>
                <w:kern w:val="0"/>
                <w:sz w:val="18"/>
                <w:szCs w:val="18"/>
              </w:rPr>
              <w:t>省级一、二、三等奖、优秀奖分别计80分、75分、70分、65分；</w:t>
            </w:r>
          </w:p>
          <w:p>
            <w:pPr>
              <w:widowControl/>
              <w:rPr>
                <w:rFonts w:ascii="宋体" w:hAnsi="宋体" w:cs="宋体"/>
                <w:color w:val="000000"/>
                <w:kern w:val="0"/>
                <w:sz w:val="18"/>
                <w:szCs w:val="18"/>
              </w:rPr>
            </w:pPr>
            <w:r>
              <w:rPr>
                <w:rFonts w:hint="eastAsia" w:ascii="宋体" w:hAnsi="宋体" w:cs="宋体"/>
                <w:color w:val="000000"/>
                <w:kern w:val="0"/>
                <w:sz w:val="18"/>
                <w:szCs w:val="18"/>
              </w:rPr>
              <w:t>市级一、二、三等奖、优秀奖分别计60分、55分、50分、45分；</w:t>
            </w:r>
          </w:p>
          <w:p>
            <w:pPr>
              <w:widowControl/>
              <w:rPr>
                <w:rFonts w:ascii="宋体" w:hAnsi="宋体" w:cs="宋体"/>
                <w:color w:val="000000"/>
                <w:kern w:val="0"/>
                <w:sz w:val="18"/>
                <w:szCs w:val="18"/>
              </w:rPr>
            </w:pPr>
            <w:r>
              <w:rPr>
                <w:rFonts w:hint="eastAsia" w:ascii="宋体" w:hAnsi="宋体" w:cs="宋体"/>
                <w:color w:val="000000"/>
                <w:kern w:val="0"/>
                <w:sz w:val="18"/>
                <w:szCs w:val="18"/>
              </w:rPr>
              <w:t>校级一、二、三等奖、优秀奖分别计40分、35分、30分、25分；</w:t>
            </w:r>
          </w:p>
          <w:p>
            <w:pPr>
              <w:widowControl/>
              <w:rPr>
                <w:rFonts w:ascii="宋体" w:hAnsi="宋体" w:cs="宋体"/>
                <w:color w:val="000000"/>
                <w:kern w:val="0"/>
                <w:sz w:val="18"/>
                <w:szCs w:val="18"/>
              </w:rPr>
            </w:pPr>
            <w:r>
              <w:rPr>
                <w:rFonts w:hint="eastAsia" w:ascii="宋体" w:hAnsi="宋体" w:cs="宋体"/>
                <w:color w:val="000000"/>
                <w:kern w:val="0"/>
                <w:sz w:val="18"/>
                <w:szCs w:val="18"/>
              </w:rPr>
              <w:t>院级一、二、三等奖、优秀奖分别计20分、15分、10分、5分。</w:t>
            </w:r>
          </w:p>
        </w:tc>
        <w:tc>
          <w:tcPr>
            <w:tcW w:w="2126" w:type="dxa"/>
            <w:vMerge w:val="continue"/>
            <w:vAlign w:val="center"/>
          </w:tcPr>
          <w:p>
            <w:pPr>
              <w:widowControl/>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shd w:val="clear" w:color="auto" w:fill="auto"/>
            <w:vAlign w:val="center"/>
          </w:tcPr>
          <w:p>
            <w:pPr>
              <w:widowControl/>
              <w:rPr>
                <w:rFonts w:ascii="宋体" w:hAnsi="宋体" w:cs="宋体"/>
                <w:b/>
                <w:bCs/>
                <w:color w:val="000000"/>
                <w:kern w:val="0"/>
                <w:sz w:val="18"/>
                <w:szCs w:val="18"/>
              </w:rPr>
            </w:pPr>
          </w:p>
        </w:tc>
        <w:tc>
          <w:tcPr>
            <w:tcW w:w="663" w:type="dxa"/>
            <w:vMerge w:val="continue"/>
            <w:vAlign w:val="center"/>
          </w:tcPr>
          <w:p>
            <w:pPr>
              <w:widowControl/>
              <w:rPr>
                <w:rFonts w:ascii="宋体" w:hAnsi="宋体" w:cs="宋体"/>
                <w:b/>
                <w:bCs/>
                <w:color w:val="000000"/>
                <w:kern w:val="0"/>
                <w:sz w:val="18"/>
                <w:szCs w:val="18"/>
              </w:rPr>
            </w:pPr>
          </w:p>
        </w:tc>
        <w:tc>
          <w:tcPr>
            <w:tcW w:w="11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在劳动榜样典型选树中获荣誉</w:t>
            </w:r>
          </w:p>
        </w:tc>
        <w:tc>
          <w:tcPr>
            <w:tcW w:w="5812"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国家级计100分；省级计80分；市级计60分；校级计40分。</w:t>
            </w:r>
          </w:p>
        </w:tc>
        <w:tc>
          <w:tcPr>
            <w:tcW w:w="2126" w:type="dxa"/>
            <w:vMerge w:val="continue"/>
            <w:vAlign w:val="center"/>
          </w:tcPr>
          <w:p>
            <w:pPr>
              <w:widowControl/>
              <w:rPr>
                <w:rFonts w:ascii="宋体" w:hAnsi="宋体" w:cs="宋体"/>
                <w:color w:val="000000"/>
                <w:kern w:val="0"/>
                <w:sz w:val="18"/>
                <w:szCs w:val="18"/>
              </w:rPr>
            </w:pPr>
          </w:p>
        </w:tc>
      </w:tr>
    </w:tbl>
    <w:p>
      <w:pPr>
        <w:widowControl/>
        <w:spacing w:line="360" w:lineRule="auto"/>
        <w:rPr>
          <w:kern w:val="0"/>
          <w:sz w:val="24"/>
        </w:rPr>
        <w:sectPr>
          <w:headerReference r:id="rId3" w:type="default"/>
          <w:footerReference r:id="rId4" w:type="default"/>
          <w:pgSz w:w="11906" w:h="16838"/>
          <w:pgMar w:top="720" w:right="720" w:bottom="720" w:left="720" w:header="851" w:footer="992" w:gutter="0"/>
          <w:cols w:space="425" w:num="1"/>
          <w:docGrid w:type="lines" w:linePitch="312" w:charSpace="0"/>
        </w:sectPr>
      </w:pPr>
      <w:bookmarkStart w:id="1" w:name="_Hlk85445650"/>
      <w:bookmarkEnd w:id="1"/>
      <w:r>
        <w:rPr>
          <w:rFonts w:hint="eastAsia"/>
          <w:kern w:val="0"/>
          <w:sz w:val="24"/>
        </w:rPr>
        <w:t>注：各类文艺、体育比赛是指由政府职能部门及主管的各类组织、机构主办的比赛；其他社团开展的比赛不记分。</w:t>
      </w:r>
      <w:bookmarkStart w:id="2" w:name="_GoBack"/>
      <w:bookmarkEnd w:id="2"/>
    </w:p>
    <w:p>
      <w:pPr>
        <w:spacing w:line="360" w:lineRule="auto"/>
        <w:rPr>
          <w:rFonts w:ascii="宋体" w:hAnsi="宋体"/>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DF"/>
    <w:rsid w:val="000031D3"/>
    <w:rsid w:val="00010EB2"/>
    <w:rsid w:val="000220AC"/>
    <w:rsid w:val="00023956"/>
    <w:rsid w:val="000272D5"/>
    <w:rsid w:val="000358EC"/>
    <w:rsid w:val="00037597"/>
    <w:rsid w:val="00042D3B"/>
    <w:rsid w:val="00046180"/>
    <w:rsid w:val="0005475F"/>
    <w:rsid w:val="00055F1D"/>
    <w:rsid w:val="00060D69"/>
    <w:rsid w:val="00062B9D"/>
    <w:rsid w:val="00063609"/>
    <w:rsid w:val="00063D9E"/>
    <w:rsid w:val="00067A42"/>
    <w:rsid w:val="00071720"/>
    <w:rsid w:val="000718FC"/>
    <w:rsid w:val="000746D9"/>
    <w:rsid w:val="0007495C"/>
    <w:rsid w:val="00080D66"/>
    <w:rsid w:val="00082442"/>
    <w:rsid w:val="000906D8"/>
    <w:rsid w:val="00094061"/>
    <w:rsid w:val="000A0F3E"/>
    <w:rsid w:val="000A2016"/>
    <w:rsid w:val="000B2F4B"/>
    <w:rsid w:val="000B33B9"/>
    <w:rsid w:val="000B7732"/>
    <w:rsid w:val="000C419A"/>
    <w:rsid w:val="000D234E"/>
    <w:rsid w:val="000D7476"/>
    <w:rsid w:val="000E05FB"/>
    <w:rsid w:val="000F29CE"/>
    <w:rsid w:val="00102234"/>
    <w:rsid w:val="00105D63"/>
    <w:rsid w:val="00106230"/>
    <w:rsid w:val="00107B66"/>
    <w:rsid w:val="001119DF"/>
    <w:rsid w:val="001258A9"/>
    <w:rsid w:val="00130EE2"/>
    <w:rsid w:val="0013143D"/>
    <w:rsid w:val="0014110C"/>
    <w:rsid w:val="00141428"/>
    <w:rsid w:val="001446E7"/>
    <w:rsid w:val="0014705E"/>
    <w:rsid w:val="001500B5"/>
    <w:rsid w:val="0015090D"/>
    <w:rsid w:val="0015367D"/>
    <w:rsid w:val="001579ED"/>
    <w:rsid w:val="0017059D"/>
    <w:rsid w:val="00172A27"/>
    <w:rsid w:val="001761E9"/>
    <w:rsid w:val="00176351"/>
    <w:rsid w:val="001802A9"/>
    <w:rsid w:val="00183DC9"/>
    <w:rsid w:val="001847E2"/>
    <w:rsid w:val="001867E9"/>
    <w:rsid w:val="001902C8"/>
    <w:rsid w:val="001916AD"/>
    <w:rsid w:val="00197855"/>
    <w:rsid w:val="001A782B"/>
    <w:rsid w:val="001B1A55"/>
    <w:rsid w:val="001B4914"/>
    <w:rsid w:val="001B7C47"/>
    <w:rsid w:val="001C1856"/>
    <w:rsid w:val="001C2F2B"/>
    <w:rsid w:val="001C3035"/>
    <w:rsid w:val="001C4D95"/>
    <w:rsid w:val="001E1A1D"/>
    <w:rsid w:val="001E2EC1"/>
    <w:rsid w:val="001E749E"/>
    <w:rsid w:val="001F0950"/>
    <w:rsid w:val="00202A90"/>
    <w:rsid w:val="00211BA0"/>
    <w:rsid w:val="00211DD3"/>
    <w:rsid w:val="00216240"/>
    <w:rsid w:val="00227C1B"/>
    <w:rsid w:val="002409BA"/>
    <w:rsid w:val="002446EF"/>
    <w:rsid w:val="00250997"/>
    <w:rsid w:val="00251842"/>
    <w:rsid w:val="00253EE5"/>
    <w:rsid w:val="00260871"/>
    <w:rsid w:val="00266AB0"/>
    <w:rsid w:val="00274E25"/>
    <w:rsid w:val="00277489"/>
    <w:rsid w:val="0028052A"/>
    <w:rsid w:val="00280CDF"/>
    <w:rsid w:val="00282D1E"/>
    <w:rsid w:val="00283FA2"/>
    <w:rsid w:val="00284316"/>
    <w:rsid w:val="002A1C7F"/>
    <w:rsid w:val="002A20CF"/>
    <w:rsid w:val="002A4253"/>
    <w:rsid w:val="002B21C3"/>
    <w:rsid w:val="002B56D9"/>
    <w:rsid w:val="002B590E"/>
    <w:rsid w:val="002C3596"/>
    <w:rsid w:val="002C4CFB"/>
    <w:rsid w:val="002D389D"/>
    <w:rsid w:val="002E0D8A"/>
    <w:rsid w:val="002E47B0"/>
    <w:rsid w:val="002E5E35"/>
    <w:rsid w:val="002E6DD0"/>
    <w:rsid w:val="002F328A"/>
    <w:rsid w:val="002F5D3D"/>
    <w:rsid w:val="0031099D"/>
    <w:rsid w:val="00322A03"/>
    <w:rsid w:val="0032449B"/>
    <w:rsid w:val="0032518D"/>
    <w:rsid w:val="0033232E"/>
    <w:rsid w:val="00333B82"/>
    <w:rsid w:val="00333F83"/>
    <w:rsid w:val="00335585"/>
    <w:rsid w:val="00336EF8"/>
    <w:rsid w:val="0034156A"/>
    <w:rsid w:val="00360D56"/>
    <w:rsid w:val="003667C0"/>
    <w:rsid w:val="00366BDF"/>
    <w:rsid w:val="00371E25"/>
    <w:rsid w:val="00374FBE"/>
    <w:rsid w:val="003753A1"/>
    <w:rsid w:val="00376ACD"/>
    <w:rsid w:val="00376FDB"/>
    <w:rsid w:val="0038581E"/>
    <w:rsid w:val="003A05EC"/>
    <w:rsid w:val="003A4F47"/>
    <w:rsid w:val="003A6A95"/>
    <w:rsid w:val="003B7F33"/>
    <w:rsid w:val="003C1B2F"/>
    <w:rsid w:val="003C3BDB"/>
    <w:rsid w:val="003C401B"/>
    <w:rsid w:val="003D6318"/>
    <w:rsid w:val="003D6610"/>
    <w:rsid w:val="003E08CC"/>
    <w:rsid w:val="003F3974"/>
    <w:rsid w:val="003F4044"/>
    <w:rsid w:val="003F6BBD"/>
    <w:rsid w:val="003F791C"/>
    <w:rsid w:val="00400A76"/>
    <w:rsid w:val="004067A1"/>
    <w:rsid w:val="00413D21"/>
    <w:rsid w:val="0041407C"/>
    <w:rsid w:val="004152C0"/>
    <w:rsid w:val="00416DC7"/>
    <w:rsid w:val="00420421"/>
    <w:rsid w:val="00423CA8"/>
    <w:rsid w:val="004251E4"/>
    <w:rsid w:val="00434875"/>
    <w:rsid w:val="004352F1"/>
    <w:rsid w:val="004373F7"/>
    <w:rsid w:val="0043743B"/>
    <w:rsid w:val="0044684D"/>
    <w:rsid w:val="00447B56"/>
    <w:rsid w:val="0046023C"/>
    <w:rsid w:val="00460487"/>
    <w:rsid w:val="0046122E"/>
    <w:rsid w:val="0047199B"/>
    <w:rsid w:val="00480362"/>
    <w:rsid w:val="00486D56"/>
    <w:rsid w:val="004874C9"/>
    <w:rsid w:val="00492846"/>
    <w:rsid w:val="004931C6"/>
    <w:rsid w:val="0049326D"/>
    <w:rsid w:val="00493539"/>
    <w:rsid w:val="00496FDF"/>
    <w:rsid w:val="004A0E64"/>
    <w:rsid w:val="004A3025"/>
    <w:rsid w:val="004B059E"/>
    <w:rsid w:val="004B3A1E"/>
    <w:rsid w:val="004B5330"/>
    <w:rsid w:val="004B70CF"/>
    <w:rsid w:val="004B7128"/>
    <w:rsid w:val="004B74E9"/>
    <w:rsid w:val="004C214D"/>
    <w:rsid w:val="004C221B"/>
    <w:rsid w:val="004C2D9C"/>
    <w:rsid w:val="004C40FA"/>
    <w:rsid w:val="004D0B2B"/>
    <w:rsid w:val="004D3230"/>
    <w:rsid w:val="004D40CF"/>
    <w:rsid w:val="004D51BB"/>
    <w:rsid w:val="004D5548"/>
    <w:rsid w:val="004D689E"/>
    <w:rsid w:val="004D7227"/>
    <w:rsid w:val="004E14E3"/>
    <w:rsid w:val="004E4E8C"/>
    <w:rsid w:val="004E7A5E"/>
    <w:rsid w:val="004F47A1"/>
    <w:rsid w:val="00513006"/>
    <w:rsid w:val="00515977"/>
    <w:rsid w:val="00520CB5"/>
    <w:rsid w:val="0052465E"/>
    <w:rsid w:val="00530CC8"/>
    <w:rsid w:val="00537237"/>
    <w:rsid w:val="005430A2"/>
    <w:rsid w:val="005446B2"/>
    <w:rsid w:val="005467C5"/>
    <w:rsid w:val="00557B41"/>
    <w:rsid w:val="00560C5C"/>
    <w:rsid w:val="00575256"/>
    <w:rsid w:val="005833E3"/>
    <w:rsid w:val="00594970"/>
    <w:rsid w:val="00596DA1"/>
    <w:rsid w:val="005971E9"/>
    <w:rsid w:val="005A30D2"/>
    <w:rsid w:val="005A5239"/>
    <w:rsid w:val="005B1E22"/>
    <w:rsid w:val="005B255D"/>
    <w:rsid w:val="005B4848"/>
    <w:rsid w:val="005B4CB1"/>
    <w:rsid w:val="005C1FC9"/>
    <w:rsid w:val="005C7353"/>
    <w:rsid w:val="005D4685"/>
    <w:rsid w:val="005D5165"/>
    <w:rsid w:val="005D5D4E"/>
    <w:rsid w:val="005D6849"/>
    <w:rsid w:val="005E14D0"/>
    <w:rsid w:val="005E70AB"/>
    <w:rsid w:val="005F2970"/>
    <w:rsid w:val="005F5305"/>
    <w:rsid w:val="005F5D7C"/>
    <w:rsid w:val="00600421"/>
    <w:rsid w:val="00600517"/>
    <w:rsid w:val="00610458"/>
    <w:rsid w:val="006125CB"/>
    <w:rsid w:val="0061627D"/>
    <w:rsid w:val="006167D9"/>
    <w:rsid w:val="00620073"/>
    <w:rsid w:val="00621DD8"/>
    <w:rsid w:val="00627C14"/>
    <w:rsid w:val="00633AEB"/>
    <w:rsid w:val="00634A2D"/>
    <w:rsid w:val="00635B0F"/>
    <w:rsid w:val="006449BC"/>
    <w:rsid w:val="006475D1"/>
    <w:rsid w:val="006477A9"/>
    <w:rsid w:val="006543C9"/>
    <w:rsid w:val="00662FB8"/>
    <w:rsid w:val="0067048C"/>
    <w:rsid w:val="0067460A"/>
    <w:rsid w:val="00674BDF"/>
    <w:rsid w:val="00680717"/>
    <w:rsid w:val="0068082D"/>
    <w:rsid w:val="00684D7B"/>
    <w:rsid w:val="00684DC8"/>
    <w:rsid w:val="006853C5"/>
    <w:rsid w:val="00694DA1"/>
    <w:rsid w:val="006972CE"/>
    <w:rsid w:val="006A79CD"/>
    <w:rsid w:val="006B0293"/>
    <w:rsid w:val="006B188B"/>
    <w:rsid w:val="006B4129"/>
    <w:rsid w:val="006C0AB1"/>
    <w:rsid w:val="006C1013"/>
    <w:rsid w:val="006D2DC3"/>
    <w:rsid w:val="006D76B5"/>
    <w:rsid w:val="006D7700"/>
    <w:rsid w:val="006F1BF9"/>
    <w:rsid w:val="00702D79"/>
    <w:rsid w:val="00704467"/>
    <w:rsid w:val="007124A0"/>
    <w:rsid w:val="007152A4"/>
    <w:rsid w:val="00720C0E"/>
    <w:rsid w:val="0072144E"/>
    <w:rsid w:val="0072151C"/>
    <w:rsid w:val="00724E4F"/>
    <w:rsid w:val="0073244B"/>
    <w:rsid w:val="00733CAA"/>
    <w:rsid w:val="007349DF"/>
    <w:rsid w:val="007426C4"/>
    <w:rsid w:val="00746716"/>
    <w:rsid w:val="007636AD"/>
    <w:rsid w:val="0076431A"/>
    <w:rsid w:val="007726C0"/>
    <w:rsid w:val="00780092"/>
    <w:rsid w:val="0078586B"/>
    <w:rsid w:val="00790F2D"/>
    <w:rsid w:val="0079336C"/>
    <w:rsid w:val="007961F6"/>
    <w:rsid w:val="007B101C"/>
    <w:rsid w:val="007B34D7"/>
    <w:rsid w:val="007B4C54"/>
    <w:rsid w:val="007C1A21"/>
    <w:rsid w:val="007C37E1"/>
    <w:rsid w:val="007D4AD0"/>
    <w:rsid w:val="007D4D28"/>
    <w:rsid w:val="007D5717"/>
    <w:rsid w:val="007E2AEB"/>
    <w:rsid w:val="007E4716"/>
    <w:rsid w:val="007E47C7"/>
    <w:rsid w:val="007E569D"/>
    <w:rsid w:val="007F7776"/>
    <w:rsid w:val="00811780"/>
    <w:rsid w:val="00816F42"/>
    <w:rsid w:val="008249D2"/>
    <w:rsid w:val="00825EF5"/>
    <w:rsid w:val="00830228"/>
    <w:rsid w:val="0083391A"/>
    <w:rsid w:val="008346FC"/>
    <w:rsid w:val="008368F6"/>
    <w:rsid w:val="00841F2B"/>
    <w:rsid w:val="00845864"/>
    <w:rsid w:val="00853CE7"/>
    <w:rsid w:val="00864F4B"/>
    <w:rsid w:val="00874375"/>
    <w:rsid w:val="008753AB"/>
    <w:rsid w:val="0087771C"/>
    <w:rsid w:val="00884F5A"/>
    <w:rsid w:val="0089120F"/>
    <w:rsid w:val="00891D95"/>
    <w:rsid w:val="008A2378"/>
    <w:rsid w:val="008A2BB7"/>
    <w:rsid w:val="008A39D8"/>
    <w:rsid w:val="008A4121"/>
    <w:rsid w:val="008A6DA3"/>
    <w:rsid w:val="008B2DDF"/>
    <w:rsid w:val="008D454E"/>
    <w:rsid w:val="008E0507"/>
    <w:rsid w:val="008E702E"/>
    <w:rsid w:val="008E7F48"/>
    <w:rsid w:val="008F6C30"/>
    <w:rsid w:val="00900B5C"/>
    <w:rsid w:val="00904FF8"/>
    <w:rsid w:val="00910A06"/>
    <w:rsid w:val="009110A6"/>
    <w:rsid w:val="00912C26"/>
    <w:rsid w:val="00912CC2"/>
    <w:rsid w:val="00915056"/>
    <w:rsid w:val="009356E1"/>
    <w:rsid w:val="00936098"/>
    <w:rsid w:val="00943968"/>
    <w:rsid w:val="00945D8F"/>
    <w:rsid w:val="00945EE4"/>
    <w:rsid w:val="00952344"/>
    <w:rsid w:val="00952E94"/>
    <w:rsid w:val="00964E51"/>
    <w:rsid w:val="00981F64"/>
    <w:rsid w:val="00990BCD"/>
    <w:rsid w:val="00992214"/>
    <w:rsid w:val="00992B01"/>
    <w:rsid w:val="00995516"/>
    <w:rsid w:val="009967C4"/>
    <w:rsid w:val="009B2821"/>
    <w:rsid w:val="009D3903"/>
    <w:rsid w:val="009D771A"/>
    <w:rsid w:val="009E7253"/>
    <w:rsid w:val="009F4E6C"/>
    <w:rsid w:val="00A05382"/>
    <w:rsid w:val="00A05C39"/>
    <w:rsid w:val="00A11DA0"/>
    <w:rsid w:val="00A17601"/>
    <w:rsid w:val="00A22B44"/>
    <w:rsid w:val="00A257C5"/>
    <w:rsid w:val="00A25EDA"/>
    <w:rsid w:val="00A305EF"/>
    <w:rsid w:val="00A31862"/>
    <w:rsid w:val="00A33390"/>
    <w:rsid w:val="00A3408B"/>
    <w:rsid w:val="00A3576D"/>
    <w:rsid w:val="00A424EA"/>
    <w:rsid w:val="00A50204"/>
    <w:rsid w:val="00A51E6F"/>
    <w:rsid w:val="00A6268C"/>
    <w:rsid w:val="00A63D80"/>
    <w:rsid w:val="00A6792D"/>
    <w:rsid w:val="00A71FCB"/>
    <w:rsid w:val="00A7231B"/>
    <w:rsid w:val="00A72AD8"/>
    <w:rsid w:val="00A75B07"/>
    <w:rsid w:val="00A762F6"/>
    <w:rsid w:val="00A80066"/>
    <w:rsid w:val="00A829E8"/>
    <w:rsid w:val="00A9226C"/>
    <w:rsid w:val="00A92D81"/>
    <w:rsid w:val="00A94928"/>
    <w:rsid w:val="00A95C29"/>
    <w:rsid w:val="00A96CFB"/>
    <w:rsid w:val="00AA0072"/>
    <w:rsid w:val="00AA1AA9"/>
    <w:rsid w:val="00AB032B"/>
    <w:rsid w:val="00AB206A"/>
    <w:rsid w:val="00AB2A29"/>
    <w:rsid w:val="00AB374C"/>
    <w:rsid w:val="00AB53C2"/>
    <w:rsid w:val="00AC03FD"/>
    <w:rsid w:val="00AC2724"/>
    <w:rsid w:val="00AD38EA"/>
    <w:rsid w:val="00AD55CB"/>
    <w:rsid w:val="00AD7637"/>
    <w:rsid w:val="00AE6B0B"/>
    <w:rsid w:val="00AF5B77"/>
    <w:rsid w:val="00AF7574"/>
    <w:rsid w:val="00B0358E"/>
    <w:rsid w:val="00B037DD"/>
    <w:rsid w:val="00B21C0C"/>
    <w:rsid w:val="00B26646"/>
    <w:rsid w:val="00B3438F"/>
    <w:rsid w:val="00B355C8"/>
    <w:rsid w:val="00B4111B"/>
    <w:rsid w:val="00B43225"/>
    <w:rsid w:val="00B446F7"/>
    <w:rsid w:val="00B44E8F"/>
    <w:rsid w:val="00B466B1"/>
    <w:rsid w:val="00B47B3D"/>
    <w:rsid w:val="00B5421B"/>
    <w:rsid w:val="00B65CE9"/>
    <w:rsid w:val="00B67372"/>
    <w:rsid w:val="00B7491C"/>
    <w:rsid w:val="00B76A96"/>
    <w:rsid w:val="00B83899"/>
    <w:rsid w:val="00B85544"/>
    <w:rsid w:val="00B90945"/>
    <w:rsid w:val="00B90AD3"/>
    <w:rsid w:val="00B90FF3"/>
    <w:rsid w:val="00B91B5D"/>
    <w:rsid w:val="00BA71AF"/>
    <w:rsid w:val="00BB2D8A"/>
    <w:rsid w:val="00BB36E1"/>
    <w:rsid w:val="00BB418B"/>
    <w:rsid w:val="00BC54FB"/>
    <w:rsid w:val="00BC63DB"/>
    <w:rsid w:val="00BC7FBD"/>
    <w:rsid w:val="00BD1BF9"/>
    <w:rsid w:val="00BD3C56"/>
    <w:rsid w:val="00BD3D71"/>
    <w:rsid w:val="00BD43EA"/>
    <w:rsid w:val="00BE06EF"/>
    <w:rsid w:val="00BE6AD9"/>
    <w:rsid w:val="00BF270E"/>
    <w:rsid w:val="00BF3941"/>
    <w:rsid w:val="00BF4C08"/>
    <w:rsid w:val="00BF5D6A"/>
    <w:rsid w:val="00C01D4B"/>
    <w:rsid w:val="00C077FF"/>
    <w:rsid w:val="00C16DCA"/>
    <w:rsid w:val="00C17457"/>
    <w:rsid w:val="00C260BB"/>
    <w:rsid w:val="00C30A9A"/>
    <w:rsid w:val="00C32C95"/>
    <w:rsid w:val="00C35F47"/>
    <w:rsid w:val="00C378C0"/>
    <w:rsid w:val="00C44B5F"/>
    <w:rsid w:val="00C44FE1"/>
    <w:rsid w:val="00C509CD"/>
    <w:rsid w:val="00C52B13"/>
    <w:rsid w:val="00C55097"/>
    <w:rsid w:val="00C56766"/>
    <w:rsid w:val="00C61301"/>
    <w:rsid w:val="00C70969"/>
    <w:rsid w:val="00C72699"/>
    <w:rsid w:val="00C75012"/>
    <w:rsid w:val="00C75EA6"/>
    <w:rsid w:val="00C974B6"/>
    <w:rsid w:val="00CB18EC"/>
    <w:rsid w:val="00CC2E3D"/>
    <w:rsid w:val="00CC78BE"/>
    <w:rsid w:val="00CC795A"/>
    <w:rsid w:val="00CD151F"/>
    <w:rsid w:val="00CE270D"/>
    <w:rsid w:val="00CF0135"/>
    <w:rsid w:val="00CF4637"/>
    <w:rsid w:val="00CF5BEB"/>
    <w:rsid w:val="00D006B3"/>
    <w:rsid w:val="00D0273C"/>
    <w:rsid w:val="00D0493F"/>
    <w:rsid w:val="00D11A6C"/>
    <w:rsid w:val="00D13D1B"/>
    <w:rsid w:val="00D1746A"/>
    <w:rsid w:val="00D22FBC"/>
    <w:rsid w:val="00D275E2"/>
    <w:rsid w:val="00D35E2B"/>
    <w:rsid w:val="00D41AB7"/>
    <w:rsid w:val="00D43011"/>
    <w:rsid w:val="00D45BCF"/>
    <w:rsid w:val="00D47D74"/>
    <w:rsid w:val="00D5008B"/>
    <w:rsid w:val="00D54350"/>
    <w:rsid w:val="00D556DF"/>
    <w:rsid w:val="00D603A8"/>
    <w:rsid w:val="00D62D12"/>
    <w:rsid w:val="00D630A6"/>
    <w:rsid w:val="00D64284"/>
    <w:rsid w:val="00D64606"/>
    <w:rsid w:val="00D704F4"/>
    <w:rsid w:val="00D719C7"/>
    <w:rsid w:val="00D77AD7"/>
    <w:rsid w:val="00D77E35"/>
    <w:rsid w:val="00D82D1E"/>
    <w:rsid w:val="00D87DFE"/>
    <w:rsid w:val="00D924ED"/>
    <w:rsid w:val="00D954C8"/>
    <w:rsid w:val="00D97C34"/>
    <w:rsid w:val="00DB2C85"/>
    <w:rsid w:val="00DC04EF"/>
    <w:rsid w:val="00DC1789"/>
    <w:rsid w:val="00DC7259"/>
    <w:rsid w:val="00DC765E"/>
    <w:rsid w:val="00DD5E86"/>
    <w:rsid w:val="00DE4098"/>
    <w:rsid w:val="00DE6391"/>
    <w:rsid w:val="00E00A48"/>
    <w:rsid w:val="00E01CCB"/>
    <w:rsid w:val="00E04F7D"/>
    <w:rsid w:val="00E161BC"/>
    <w:rsid w:val="00E27E8C"/>
    <w:rsid w:val="00E42D58"/>
    <w:rsid w:val="00E43096"/>
    <w:rsid w:val="00E4412E"/>
    <w:rsid w:val="00E5502D"/>
    <w:rsid w:val="00E555C4"/>
    <w:rsid w:val="00E577EA"/>
    <w:rsid w:val="00E606AE"/>
    <w:rsid w:val="00E62920"/>
    <w:rsid w:val="00E833E5"/>
    <w:rsid w:val="00E836A8"/>
    <w:rsid w:val="00E842BA"/>
    <w:rsid w:val="00E849D1"/>
    <w:rsid w:val="00E906A3"/>
    <w:rsid w:val="00E96008"/>
    <w:rsid w:val="00EA1574"/>
    <w:rsid w:val="00EB05D2"/>
    <w:rsid w:val="00EB530D"/>
    <w:rsid w:val="00EC2211"/>
    <w:rsid w:val="00EC6798"/>
    <w:rsid w:val="00EC7412"/>
    <w:rsid w:val="00ED3CFB"/>
    <w:rsid w:val="00EE7B87"/>
    <w:rsid w:val="00EF42C5"/>
    <w:rsid w:val="00EF4AA0"/>
    <w:rsid w:val="00F0778C"/>
    <w:rsid w:val="00F11825"/>
    <w:rsid w:val="00F1528C"/>
    <w:rsid w:val="00F17B89"/>
    <w:rsid w:val="00F40CF3"/>
    <w:rsid w:val="00F41A58"/>
    <w:rsid w:val="00F5427C"/>
    <w:rsid w:val="00F5566B"/>
    <w:rsid w:val="00F70249"/>
    <w:rsid w:val="00F85D17"/>
    <w:rsid w:val="00F921F0"/>
    <w:rsid w:val="00F9595B"/>
    <w:rsid w:val="00F96843"/>
    <w:rsid w:val="00FA4782"/>
    <w:rsid w:val="00FA5202"/>
    <w:rsid w:val="00FB3E00"/>
    <w:rsid w:val="00FB6BBB"/>
    <w:rsid w:val="00FC0B40"/>
    <w:rsid w:val="00FC1D18"/>
    <w:rsid w:val="00FC58AF"/>
    <w:rsid w:val="00FC63EE"/>
    <w:rsid w:val="00FD1F9D"/>
    <w:rsid w:val="00FD4301"/>
    <w:rsid w:val="00FD7657"/>
    <w:rsid w:val="00FD7701"/>
    <w:rsid w:val="00FD7891"/>
    <w:rsid w:val="00FD7B2E"/>
    <w:rsid w:val="00FE227E"/>
    <w:rsid w:val="00FE3981"/>
    <w:rsid w:val="00FE3C19"/>
    <w:rsid w:val="00FE50AD"/>
    <w:rsid w:val="00FF1D80"/>
    <w:rsid w:val="00FF2631"/>
    <w:rsid w:val="00FF2A7F"/>
    <w:rsid w:val="00FF7A70"/>
    <w:rsid w:val="4E62758E"/>
    <w:rsid w:val="77D263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qFormat/>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link w:val="4"/>
    <w:qFormat/>
    <w:uiPriority w:val="0"/>
    <w:rPr>
      <w:rFonts w:ascii="Times New Roman" w:hAnsi="Times New Roman" w:eastAsia="宋体" w:cs="Times New Roman"/>
      <w:kern w:val="2"/>
      <w:sz w:val="18"/>
      <w:szCs w:val="18"/>
    </w:rPr>
  </w:style>
  <w:style w:type="paragraph" w:customStyle="1" w:styleId="10">
    <w:name w:val="western"/>
    <w:basedOn w:val="1"/>
    <w:qFormat/>
    <w:uiPriority w:val="0"/>
    <w:pPr>
      <w:widowControl/>
      <w:spacing w:before="100" w:beforeAutospacing="1" w:after="100" w:afterAutospacing="1"/>
      <w:jc w:val="left"/>
    </w:pPr>
    <w:rPr>
      <w:rFonts w:ascii="宋体" w:hAnsi="宋体" w:cs="宋体"/>
      <w:kern w:val="0"/>
      <w:sz w:val="24"/>
    </w:rPr>
  </w:style>
  <w:style w:type="character" w:styleId="11">
    <w:name w:val="Placeholder Text"/>
    <w:basedOn w:val="8"/>
    <w:semiHidden/>
    <w:qFormat/>
    <w:uiPriority w:val="99"/>
    <w:rPr>
      <w:rFonts w:ascii="Times New Roman" w:hAnsi="Times New Roman" w:eastAsia="宋体" w:cs="Times New Roman"/>
      <w:color w:val="808080"/>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0C1FD-6283-4DB6-B9D5-E2E4CC3B01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1317</Words>
  <Characters>7509</Characters>
  <Lines>62</Lines>
  <Paragraphs>17</Paragraphs>
  <TotalTime>2332</TotalTime>
  <ScaleCrop>false</ScaleCrop>
  <LinksUpToDate>false</LinksUpToDate>
  <CharactersWithSpaces>8809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2022-02-20T03:25:00Z</dcterms:created>
  <dc:creator>微软用户</dc:creator>
  <cp:lastModifiedBy>Evelyn</cp:lastModifiedBy>
  <cp:lastPrinted>2022-03-18T03:20:00Z</cp:lastPrinted>
  <dcterms:modified xsi:type="dcterms:W3CDTF">2022-03-18T07:37:47Z</dcterms:modified>
  <dc:title>统计与数学学院2010级研究生学业奖学金评定细则</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43d4fea373f840f7bd53984e187c2012</vt:lpwstr>
  </property>
  <property fmtid="{D5CDD505-2E9C-101B-9397-08002B2CF9AE}" pid="3" name="KSOProductBuildVer">
    <vt:lpwstr>2052-11.1.0.9914</vt:lpwstr>
  </property>
</Properties>
</file>