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both"/>
        <w:rPr>
          <w:rFonts w:hint="default" w:ascii="方正小标宋_GBK" w:hAnsi="方正小标宋_GBK" w:eastAsia="方正小标宋_GBK" w:cs="方正小标宋_GBK"/>
          <w:b w:val="0"/>
          <w:bCs w:val="0"/>
          <w:sz w:val="32"/>
          <w:szCs w:val="32"/>
          <w:lang w:val="en-US" w:eastAsia="zh-CN"/>
        </w:rPr>
      </w:pPr>
      <w:r>
        <w:rPr>
          <w:rFonts w:hint="eastAsia" w:ascii="方正小标宋_GBK" w:hAnsi="方正小标宋_GBK" w:eastAsia="方正小标宋_GBK" w:cs="方正小标宋_GBK"/>
          <w:b w:val="0"/>
          <w:bCs w:val="0"/>
          <w:sz w:val="32"/>
          <w:szCs w:val="32"/>
          <w:lang w:val="en-US" w:eastAsia="zh-CN"/>
        </w:rPr>
        <w:t>附件1</w:t>
      </w:r>
    </w:p>
    <w:p>
      <w:pPr>
        <w:spacing w:line="288" w:lineRule="auto"/>
        <w:ind w:firstLine="420"/>
        <w:jc w:val="center"/>
        <w:rPr>
          <w:rFonts w:hint="default" w:ascii="仿宋_GB2312" w:hAnsi="仿宋_GB2312" w:eastAsia="仿宋_GB2312" w:cs="仿宋_GB2312"/>
          <w:bCs/>
          <w:sz w:val="36"/>
          <w:szCs w:val="36"/>
          <w:lang w:val="en-US"/>
        </w:rPr>
      </w:pPr>
      <w:r>
        <w:rPr>
          <w:rFonts w:hint="eastAsia" w:ascii="方正小标宋_GBK" w:hAnsi="方正小标宋_GBK" w:eastAsia="方正小标宋_GBK" w:cs="方正小标宋_GBK"/>
          <w:b w:val="0"/>
          <w:bCs w:val="0"/>
          <w:sz w:val="36"/>
          <w:szCs w:val="36"/>
        </w:rPr>
        <w:t>统计与数学学院优秀团队、先进个人评选</w:t>
      </w:r>
      <w:r>
        <w:rPr>
          <w:rFonts w:hint="eastAsia" w:ascii="方正小标宋_GBK" w:hAnsi="方正小标宋_GBK" w:eastAsia="方正小标宋_GBK" w:cs="方正小标宋_GBK"/>
          <w:b w:val="0"/>
          <w:bCs w:val="0"/>
          <w:sz w:val="36"/>
          <w:szCs w:val="36"/>
          <w:lang w:val="en-US" w:eastAsia="zh-CN"/>
        </w:rPr>
        <w:t>办法</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积极弘扬“崇德、求真、守正、创新”院训精神，表彰先进、树立榜样，进一步激发调动学院全体教职员工弘扬“教育家精神”，争做“四有好老师”，当好学生健康成长的引路人，共同推进学校、学院各项事业的高质量发展，特制订本办法。</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一、评选范围</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在党建引领、科学研究、教育教学（本科生、研究生）、管理服务等工作中作出突出成绩的优秀团队和先进个人。</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黑体" w:hAnsi="黑体" w:eastAsia="黑体" w:cs="黑体"/>
          <w:bCs/>
          <w:sz w:val="28"/>
          <w:szCs w:val="28"/>
          <w:highlight w:val="none"/>
          <w:lang w:val="en-US" w:eastAsia="zh-CN"/>
        </w:rPr>
      </w:pPr>
      <w:r>
        <w:rPr>
          <w:rFonts w:hint="eastAsia" w:ascii="黑体" w:hAnsi="黑体" w:eastAsia="黑体" w:cs="黑体"/>
          <w:bCs/>
          <w:sz w:val="28"/>
          <w:szCs w:val="28"/>
          <w:highlight w:val="none"/>
          <w:lang w:val="en-US" w:eastAsia="zh-CN"/>
        </w:rPr>
        <w:t>二、奖项设置</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（一）优秀团队：团队评选设“党建引领优秀团队”“科学研究优秀团队”“教育教学优秀团队”“管理服务优秀团队”四类奖项，每类至多评选表彰2个团队。</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（二）先进个人：个人评选设“党建引领先进个人”“科学研究先进个人”“本科教育教学先进个人”“研究生教育教学先进个人”“管理服务先进个人”五类奖项，分别设一等奖1名，二等奖2名，三等奖3名。</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黑体" w:hAnsi="黑体" w:eastAsia="黑体" w:cs="黑体"/>
          <w:bCs/>
          <w:sz w:val="28"/>
          <w:szCs w:val="28"/>
          <w:highlight w:val="none"/>
          <w:lang w:val="en-US" w:eastAsia="zh-CN"/>
        </w:rPr>
      </w:pPr>
      <w:r>
        <w:rPr>
          <w:rFonts w:hint="eastAsia" w:ascii="黑体" w:hAnsi="黑体" w:eastAsia="黑体" w:cs="黑体"/>
          <w:bCs/>
          <w:sz w:val="28"/>
          <w:szCs w:val="28"/>
          <w:highlight w:val="none"/>
          <w:lang w:val="en-US" w:eastAsia="zh-CN"/>
        </w:rPr>
        <w:t>三</w:t>
      </w:r>
      <w:r>
        <w:rPr>
          <w:rFonts w:hint="eastAsia" w:ascii="黑体" w:hAnsi="黑体" w:eastAsia="黑体" w:cs="黑体"/>
          <w:bCs/>
          <w:sz w:val="28"/>
          <w:szCs w:val="28"/>
          <w:highlight w:val="none"/>
        </w:rPr>
        <w:t>、</w:t>
      </w:r>
      <w:r>
        <w:rPr>
          <w:rFonts w:hint="eastAsia" w:ascii="黑体" w:hAnsi="黑体" w:eastAsia="黑体" w:cs="黑体"/>
          <w:bCs/>
          <w:sz w:val="28"/>
          <w:szCs w:val="28"/>
          <w:highlight w:val="none"/>
          <w:lang w:val="en-US" w:eastAsia="zh-CN"/>
        </w:rPr>
        <w:t>总体原则</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坚持公平、公正、公开原则，自下而上、民主推荐、综合评定，其中，团队申报可不以系（支部）为单位，鼓励学院内跨单位以党建团队、科研团队、教学团队、课程团队、管理团队、服务团队等为主体进行申报，更好的整合激发各类团队在思想引领、学术创新、学科建设、人才培养、社会服务、国际交流与合作等方面的示范引领作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（一）优秀团队</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1.团队构成。具有稳定的合作关系、稳定学术方向和规范的管理模式。团队成员共同承担课题、共享研究平台、共有科研成果、共同完成教学与指导工作，具有良好的协同创新精神。</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2.团队业绩。团队具有较高的党建引领、科学研究、教育教学和管理服务能力，在党建、育人、科研及社会服务等方面取得突出业绩。</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3.团队文化。全面贯彻党的教育方针，始终坚持立德树人根本任务，在长期稳定的团队合作中形成优良的团队文化，具有良好的工作氛围、温馨的工作环境、较强的凝聚力和向心力、饱满的科研热情与创新精神。</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（二）先进个人</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全面贯彻党的教育方针，政治立场坚定，具有良好的师德师风和职业道德，潜心教书育人、管理育人、服务育人，在党建引领、科学研究、教育教学、管理服务中有突出工作业绩和成果。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黑体" w:hAnsi="黑体" w:eastAsia="黑体" w:cs="黑体"/>
          <w:bCs/>
          <w:sz w:val="32"/>
          <w:szCs w:val="32"/>
          <w:lang w:val="en-US" w:eastAsia="zh-CN"/>
        </w:rPr>
      </w:pPr>
      <w:r>
        <w:rPr>
          <w:rFonts w:hint="eastAsia" w:ascii="黑体" w:hAnsi="黑体" w:eastAsia="黑体" w:cs="黑体"/>
          <w:bCs/>
          <w:sz w:val="32"/>
          <w:szCs w:val="32"/>
          <w:lang w:val="en-US" w:eastAsia="zh-CN"/>
        </w:rPr>
        <w:t>四、评选条件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bCs/>
          <w:sz w:val="32"/>
          <w:szCs w:val="32"/>
          <w:lang w:val="en-US" w:eastAsia="zh-CN"/>
        </w:rPr>
      </w:pPr>
      <w:r>
        <w:rPr>
          <w:rFonts w:hint="eastAsia" w:ascii="楷体" w:hAnsi="楷体" w:eastAsia="楷体" w:cs="楷体"/>
          <w:bCs/>
          <w:sz w:val="32"/>
          <w:szCs w:val="32"/>
          <w:lang w:val="en-US" w:eastAsia="zh-CN"/>
        </w:rPr>
        <w:t>（一）优秀团队</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1.“党建引领”优秀团队</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团队教育党员、监督党员、管理党员有力，宣传师生、凝聚师生、服务师生有力，引领带动师生投入党政中心工作的组织力、引领力、实效性强，思想引领和价值观塑造有机融入教师教学科研、学生成长，常态化了解师生困难诉求、倾听师生意见建议。</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评选年度内，团队成员获评省部级（含）以上优秀党员或先进典型；团队承担省部级（含）以上党的工作创新项目或重大研究课题，并发挥推广示范效应；在高层次人才、中青年教师中发展党员工作成效突出；团队成员获评校级（含）以上“优秀共产党员”“公道美品德行奖”“洪山好人”“向上向善好青年”等优秀师德师风典型荣誉称号；教师党支部在“双带头人”支部书记工作室、样板支部建设、教师思想政治工作、促进学校事业发展等工作中做出突出成绩。</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val="0"/>
          <w:sz w:val="32"/>
          <w:szCs w:val="32"/>
          <w:lang w:eastAsia="zh-CN"/>
        </w:rPr>
      </w:pPr>
      <w:r>
        <w:rPr>
          <w:rFonts w:hint="eastAsia" w:ascii="仿宋_GB2312" w:hAnsi="仿宋_GB2312" w:eastAsia="仿宋_GB2312" w:cs="仿宋_GB2312"/>
          <w:b/>
          <w:bCs w:val="0"/>
          <w:sz w:val="32"/>
          <w:szCs w:val="32"/>
          <w:lang w:val="en-US" w:eastAsia="zh-CN"/>
        </w:rPr>
        <w:t>2</w:t>
      </w:r>
      <w:r>
        <w:rPr>
          <w:rFonts w:hint="eastAsia" w:ascii="仿宋_GB2312" w:hAnsi="仿宋_GB2312" w:eastAsia="仿宋_GB2312" w:cs="仿宋_GB2312"/>
          <w:b/>
          <w:bCs w:val="0"/>
          <w:sz w:val="32"/>
          <w:szCs w:val="32"/>
        </w:rPr>
        <w:t>.</w:t>
      </w:r>
      <w:r>
        <w:rPr>
          <w:rFonts w:hint="eastAsia" w:ascii="仿宋_GB2312" w:hAnsi="仿宋_GB2312" w:eastAsia="仿宋_GB2312" w:cs="仿宋_GB2312"/>
          <w:b/>
          <w:bCs w:val="0"/>
          <w:sz w:val="32"/>
          <w:szCs w:val="32"/>
          <w:lang w:eastAsia="zh-CN"/>
        </w:rPr>
        <w:t>“科学研究”优秀团队</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团队成员有相对集中的研究方向，团队负责人在该团队研究领域中具有较深的学术造诣及较高的学术影响力，并具有较强的团队组织和协调能力。团队成员具有合理的专业结构和年龄结构，勇于创新、积极探索，具有良好的团队合作精神。</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评选年度内，团队承担有国家级、省部级等研究项目，或已取得高水平科研论文、高层次奖励、批示等较为丰富的科研成果，或在某一研究领域中具有明显的创新能力、有重大突破，或在成果转化、智库建设、社会服务等工作中取得显著经济效益或社会效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val="0"/>
          <w:sz w:val="32"/>
          <w:szCs w:val="32"/>
          <w:lang w:eastAsia="zh-CN"/>
        </w:rPr>
      </w:pPr>
      <w:r>
        <w:rPr>
          <w:rFonts w:hint="eastAsia" w:ascii="仿宋_GB2312" w:hAnsi="仿宋_GB2312" w:eastAsia="仿宋_GB2312" w:cs="仿宋_GB2312"/>
          <w:b/>
          <w:bCs w:val="0"/>
          <w:sz w:val="32"/>
          <w:szCs w:val="32"/>
          <w:lang w:val="en-US" w:eastAsia="zh-CN"/>
        </w:rPr>
        <w:t>3</w:t>
      </w:r>
      <w:r>
        <w:rPr>
          <w:rFonts w:hint="eastAsia" w:ascii="仿宋_GB2312" w:hAnsi="仿宋_GB2312" w:eastAsia="仿宋_GB2312" w:cs="仿宋_GB2312"/>
          <w:b/>
          <w:bCs w:val="0"/>
          <w:sz w:val="32"/>
          <w:szCs w:val="32"/>
        </w:rPr>
        <w:t>.</w:t>
      </w:r>
      <w:r>
        <w:rPr>
          <w:rFonts w:hint="eastAsia" w:ascii="仿宋_GB2312" w:hAnsi="仿宋_GB2312" w:eastAsia="仿宋_GB2312" w:cs="仿宋_GB2312"/>
          <w:b/>
          <w:bCs w:val="0"/>
          <w:sz w:val="32"/>
          <w:szCs w:val="32"/>
          <w:lang w:eastAsia="zh-CN"/>
        </w:rPr>
        <w:t>“教育教学”优秀团队</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团队具有明确的发展目标、良好的合作精神，在指导和激励中青年教师提高专业素质和业务水平方面成效显著。团队带头人长期致力于团队所承担的课程建设、专业建设、本科生（研究生）教育、课程思政及教学创新，品德高尚、治学严谨，具有团结、协作精神和较好的组织、协调、管理能力。</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评选年度内，团队教育教学方法先进，积极引导学生深入学习，培养学生发现、分析和解决问题的兴趣和能力。团队在教育教学工作中有强烈的质量意识和有效的教学质量管理措施，教学效果好，无教学事故；团队承担有校级以上本科生（研究生）教学研究项目，重视教材建设和教材研究，积极参加教学改革与创新，承担一流课程、精品课程、慕课等教学质量工程建设项目。</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4.“管理服务”优秀团队</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积极为党建引领、科学研究、教育教学做好各项管理服务保障工作，开拓进取、积极创新，取得优异成绩。</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评选年度内，所承担的工作为学院创造积极的社会效益和经济价值；为学院在社会服务、公益服务、志愿服务等方面做出积极贡献；立足本职工作，认真负责为全院师生提供高质量管理服务保障工作。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bCs/>
          <w:sz w:val="32"/>
          <w:szCs w:val="32"/>
          <w:lang w:val="en-US" w:eastAsia="zh-CN"/>
        </w:rPr>
      </w:pPr>
      <w:r>
        <w:rPr>
          <w:rFonts w:hint="eastAsia" w:ascii="楷体" w:hAnsi="楷体" w:eastAsia="楷体" w:cs="楷体"/>
          <w:bCs/>
          <w:sz w:val="32"/>
          <w:szCs w:val="32"/>
          <w:lang w:val="en-US" w:eastAsia="zh-CN"/>
        </w:rPr>
        <w:t>（二）先进个人</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具备下列条件之一的，可申报先进个人：</w:t>
      </w:r>
    </w:p>
    <w:p>
      <w:pPr>
        <w:keepNext w:val="0"/>
        <w:keepLines w:val="0"/>
        <w:pageBreakBefore w:val="0"/>
        <w:widowControl w:val="0"/>
        <w:numPr>
          <w:ilvl w:val="0"/>
          <w:numId w:val="0"/>
        </w:numPr>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1.在德、能、勤、绩、廉方面表现突出，热爱教育教学事业，积极促进学生德智体美劳全面发展，模范履行教书育人岗位职责，高质量完成党建引领、教育教学、科学研究、管理服务等工作任务。</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专任教师师德师风良好、教学科研业绩突出，积极发挥榜样示范引领和传帮带作用，在课堂教学、本科生（研究生）培养、学科（专业）建设、科学研究、社会服务等方面主动担当、积极作为，取得突出业绩和工作成果，并获师生广泛认可。</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3.管理服务人员业务能力突出、政策理论水平高、工作态度端正、工作作风扎实、廉洁自律、协作精神强，在工作中努力开拓创新、积极担当作为，取得突出业绩和工作成果，并获师生广泛认可。</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lang w:val="en-US" w:eastAsia="zh-CN"/>
        </w:rPr>
        <w:t>五</w:t>
      </w:r>
      <w:r>
        <w:rPr>
          <w:rFonts w:hint="eastAsia" w:ascii="黑体" w:hAnsi="黑体" w:eastAsia="黑体" w:cs="黑体"/>
          <w:bCs/>
          <w:sz w:val="32"/>
          <w:szCs w:val="32"/>
        </w:rPr>
        <w:t>、评选程序</w:t>
      </w:r>
    </w:p>
    <w:p>
      <w:pPr>
        <w:keepNext w:val="0"/>
        <w:keepLines w:val="0"/>
        <w:pageBreakBefore w:val="0"/>
        <w:widowControl w:val="0"/>
        <w:kinsoku/>
        <w:overflowPunct/>
        <w:topLinePunct w:val="0"/>
        <w:autoSpaceDE/>
        <w:autoSpaceDN/>
        <w:bidi w:val="0"/>
        <w:adjustRightInd/>
        <w:snapToGrid/>
        <w:spacing w:line="4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1.民主推荐：</w:t>
      </w:r>
      <w:r>
        <w:rPr>
          <w:rFonts w:hint="eastAsia" w:ascii="仿宋" w:hAnsi="仿宋" w:eastAsia="仿宋" w:cs="仿宋"/>
          <w:sz w:val="32"/>
          <w:szCs w:val="32"/>
          <w:lang w:val="en-US" w:eastAsia="zh-CN"/>
        </w:rPr>
        <w:t>符合评选条件的团队、个人可通过自荐和组织推荐的方式，将各类申报表分类报送党政办负责老师处。</w:t>
      </w:r>
    </w:p>
    <w:p>
      <w:pPr>
        <w:keepNext w:val="0"/>
        <w:keepLines w:val="0"/>
        <w:pageBreakBefore w:val="0"/>
        <w:widowControl w:val="0"/>
        <w:kinsoku/>
        <w:overflowPunct/>
        <w:topLinePunct w:val="0"/>
        <w:autoSpaceDE/>
        <w:autoSpaceDN/>
        <w:bidi w:val="0"/>
        <w:adjustRightInd/>
        <w:snapToGrid/>
        <w:spacing w:line="4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2.综合评审：</w:t>
      </w:r>
      <w:r>
        <w:rPr>
          <w:rFonts w:hint="eastAsia" w:ascii="仿宋" w:hAnsi="仿宋" w:eastAsia="仿宋" w:cs="仿宋"/>
          <w:sz w:val="32"/>
          <w:szCs w:val="32"/>
          <w:lang w:val="en-US" w:eastAsia="zh-CN"/>
        </w:rPr>
        <w:t>学院成立年度评选表彰工作的评审小组</w:t>
      </w:r>
      <w:bookmarkStart w:id="0" w:name="_GoBack"/>
      <w:bookmarkEnd w:id="0"/>
      <w:r>
        <w:rPr>
          <w:rFonts w:hint="eastAsia" w:ascii="仿宋" w:hAnsi="仿宋" w:eastAsia="仿宋" w:cs="仿宋"/>
          <w:sz w:val="32"/>
          <w:szCs w:val="32"/>
          <w:lang w:val="en-US" w:eastAsia="zh-CN"/>
        </w:rPr>
        <w:t>，由学院领导、各系主任、教师支部书记组成，对推荐名单进行资格审查，开展评审工作。</w:t>
      </w:r>
    </w:p>
    <w:p>
      <w:pPr>
        <w:keepNext w:val="0"/>
        <w:keepLines w:val="0"/>
        <w:pageBreakBefore w:val="0"/>
        <w:widowControl w:val="0"/>
        <w:kinsoku/>
        <w:overflowPunct/>
        <w:topLinePunct w:val="0"/>
        <w:autoSpaceDE/>
        <w:autoSpaceDN/>
        <w:bidi w:val="0"/>
        <w:adjustRightInd/>
        <w:snapToGrid/>
        <w:spacing w:line="4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3.名单确定及公示：</w:t>
      </w:r>
      <w:r>
        <w:rPr>
          <w:rFonts w:hint="eastAsia" w:ascii="仿宋" w:hAnsi="仿宋" w:eastAsia="仿宋" w:cs="仿宋"/>
          <w:sz w:val="32"/>
          <w:szCs w:val="32"/>
          <w:lang w:val="en-US" w:eastAsia="zh-CN"/>
        </w:rPr>
        <w:t>集中评审名单报学院党政联席会议讨论通过并在一定范围内进行公示。</w:t>
      </w:r>
    </w:p>
    <w:p>
      <w:pPr>
        <w:keepNext w:val="0"/>
        <w:keepLines w:val="0"/>
        <w:pageBreakBefore w:val="0"/>
        <w:widowControl w:val="0"/>
        <w:kinsoku/>
        <w:overflowPunct/>
        <w:topLinePunct w:val="0"/>
        <w:autoSpaceDE/>
        <w:autoSpaceDN/>
        <w:bidi w:val="0"/>
        <w:adjustRightInd/>
        <w:snapToGrid/>
        <w:spacing w:line="460" w:lineRule="exact"/>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4.集中表彰：</w:t>
      </w:r>
      <w:r>
        <w:rPr>
          <w:rFonts w:hint="eastAsia" w:ascii="仿宋" w:hAnsi="仿宋" w:eastAsia="仿宋" w:cs="仿宋"/>
          <w:sz w:val="32"/>
          <w:szCs w:val="32"/>
          <w:lang w:val="en-US" w:eastAsia="zh-CN"/>
        </w:rPr>
        <w:t>学院召开表彰大会，对以上获奖优秀团队、先进个人集中进行表彰。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黑体" w:hAnsi="黑体" w:eastAsia="黑体" w:cs="黑体"/>
          <w:bCs/>
          <w:sz w:val="32"/>
          <w:szCs w:val="32"/>
          <w:lang w:val="en-US" w:eastAsia="zh-CN"/>
        </w:rPr>
      </w:pPr>
      <w:r>
        <w:rPr>
          <w:rFonts w:hint="eastAsia" w:ascii="黑体" w:hAnsi="黑体" w:eastAsia="黑体" w:cs="黑体"/>
          <w:bCs/>
          <w:sz w:val="32"/>
          <w:szCs w:val="32"/>
          <w:lang w:val="en-US" w:eastAsia="zh-CN"/>
        </w:rPr>
        <w:t>六、奖励标准</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（一）优秀团队：10000元/个。</w:t>
      </w:r>
    </w:p>
    <w:p>
      <w:pPr>
        <w:keepNext w:val="0"/>
        <w:keepLines w:val="0"/>
        <w:pageBreakBefore w:val="0"/>
        <w:widowControl w:val="0"/>
        <w:kinsoku/>
        <w:overflowPunct/>
        <w:topLinePunct w:val="0"/>
        <w:autoSpaceDE/>
        <w:autoSpaceDN/>
        <w:bidi w:val="0"/>
        <w:adjustRightInd/>
        <w:snapToGrid/>
        <w:spacing w:line="4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（二）先进个人：一等奖5000元/人，二等奖3000元/人，三等奖2000元/人。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lang w:val="en-US" w:eastAsia="zh-CN"/>
        </w:rPr>
        <w:t>七</w:t>
      </w:r>
      <w:r>
        <w:rPr>
          <w:rFonts w:hint="eastAsia" w:ascii="黑体" w:hAnsi="黑体" w:eastAsia="黑体" w:cs="黑体"/>
          <w:bCs/>
          <w:sz w:val="32"/>
          <w:szCs w:val="32"/>
        </w:rPr>
        <w:t>、评选时间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评选工作每两年进行一次，</w:t>
      </w:r>
      <w:r>
        <w:rPr>
          <w:rFonts w:hint="eastAsia" w:ascii="仿宋_GB2312" w:hAnsi="仿宋_GB2312" w:eastAsia="仿宋_GB2312" w:cs="仿宋_GB2312"/>
          <w:bCs/>
          <w:sz w:val="32"/>
          <w:szCs w:val="32"/>
          <w:lang w:val="en-US" w:eastAsia="zh-CN"/>
        </w:rPr>
        <w:t>学院集中组织</w:t>
      </w:r>
      <w:r>
        <w:rPr>
          <w:rFonts w:hint="eastAsia" w:ascii="仿宋_GB2312" w:hAnsi="仿宋_GB2312" w:eastAsia="仿宋_GB2312" w:cs="仿宋_GB2312"/>
          <w:bCs/>
          <w:sz w:val="32"/>
          <w:szCs w:val="32"/>
        </w:rPr>
        <w:t>表彰奖励。</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rPr>
      </w:pPr>
    </w:p>
    <w:p>
      <w:pPr>
        <w:wordWrap w:val="0"/>
        <w:spacing w:line="288" w:lineRule="auto"/>
        <w:ind w:firstLine="420"/>
        <w:jc w:val="right"/>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rPr>
        <w:t>统计与数学学院</w:t>
      </w:r>
      <w:r>
        <w:rPr>
          <w:rFonts w:hint="eastAsia" w:ascii="仿宋_GB2312" w:hAnsi="仿宋_GB2312" w:eastAsia="仿宋_GB2312" w:cs="仿宋_GB2312"/>
          <w:bCs/>
          <w:sz w:val="28"/>
          <w:szCs w:val="28"/>
          <w:lang w:val="en-US" w:eastAsia="zh-CN"/>
        </w:rPr>
        <w:t xml:space="preserve">  </w:t>
      </w:r>
    </w:p>
    <w:p>
      <w:pPr>
        <w:spacing w:line="288" w:lineRule="auto"/>
        <w:ind w:firstLine="420"/>
        <w:jc w:val="right"/>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rPr>
        <w:t>202</w:t>
      </w:r>
      <w:r>
        <w:rPr>
          <w:rFonts w:hint="eastAsia" w:ascii="仿宋_GB2312" w:hAnsi="仿宋_GB2312" w:eastAsia="仿宋_GB2312" w:cs="仿宋_GB2312"/>
          <w:bCs/>
          <w:sz w:val="28"/>
          <w:szCs w:val="28"/>
          <w:lang w:val="en-US" w:eastAsia="zh-CN"/>
        </w:rPr>
        <w:t>3</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lang w:val="en-US" w:eastAsia="zh-CN"/>
        </w:rPr>
        <w:t>12</w:t>
      </w:r>
      <w:r>
        <w:rPr>
          <w:rFonts w:hint="eastAsia" w:ascii="仿宋_GB2312" w:hAnsi="仿宋_GB2312" w:eastAsia="仿宋_GB2312" w:cs="仿宋_GB2312"/>
          <w:bCs/>
          <w:sz w:val="28"/>
          <w:szCs w:val="28"/>
        </w:rPr>
        <w:t>月</w:t>
      </w:r>
      <w:r>
        <w:rPr>
          <w:rFonts w:hint="eastAsia" w:ascii="仿宋_GB2312" w:hAnsi="仿宋_GB2312" w:eastAsia="仿宋_GB2312" w:cs="仿宋_GB2312"/>
          <w:bCs/>
          <w:sz w:val="28"/>
          <w:szCs w:val="28"/>
          <w:lang w:val="en-US" w:eastAsia="zh-CN"/>
        </w:rPr>
        <w:t>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3E345D3-C57D-4AF7-937E-E10C544A2C1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_GBK">
    <w:panose1 w:val="02000000000000000000"/>
    <w:charset w:val="86"/>
    <w:family w:val="auto"/>
    <w:pitch w:val="default"/>
    <w:sig w:usb0="A00002BF" w:usb1="38CF7CFA" w:usb2="00082016" w:usb3="00000000" w:csb0="00040001" w:csb1="00000000"/>
    <w:embedRegular r:id="rId2" w:fontKey="{3BF38FD1-23ED-468B-A136-DB8447E4CB2F}"/>
  </w:font>
  <w:font w:name="仿宋_GB2312">
    <w:panose1 w:val="02010609030101010101"/>
    <w:charset w:val="86"/>
    <w:family w:val="auto"/>
    <w:pitch w:val="default"/>
    <w:sig w:usb0="00000001" w:usb1="080E0000" w:usb2="00000000" w:usb3="00000000" w:csb0="00040000" w:csb1="00000000"/>
    <w:embedRegular r:id="rId3" w:fontKey="{512D4051-0766-424F-A088-986C6F33C039}"/>
  </w:font>
  <w:font w:name="仿宋">
    <w:panose1 w:val="02010609060101010101"/>
    <w:charset w:val="86"/>
    <w:family w:val="auto"/>
    <w:pitch w:val="default"/>
    <w:sig w:usb0="800002BF" w:usb1="38CF7CFA" w:usb2="00000016" w:usb3="00000000" w:csb0="00040001" w:csb1="00000000"/>
    <w:embedRegular r:id="rId4" w:fontKey="{88FA66EA-06E2-408B-8D54-0C3D2571105C}"/>
  </w:font>
  <w:font w:name="楷体">
    <w:panose1 w:val="02010609060101010101"/>
    <w:charset w:val="86"/>
    <w:family w:val="auto"/>
    <w:pitch w:val="default"/>
    <w:sig w:usb0="800002BF" w:usb1="38CF7CFA" w:usb2="00000016" w:usb3="00000000" w:csb0="00040001" w:csb1="00000000"/>
    <w:embedRegular r:id="rId5" w:fontKey="{35582438-3545-458B-8434-AFDFD0CF87E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3M2FkNTg2MGMxYTRlYTgzNTFkZWVlZjQ3Y2E5ZjgifQ=="/>
  </w:docVars>
  <w:rsids>
    <w:rsidRoot w:val="00723538"/>
    <w:rsid w:val="00112C4C"/>
    <w:rsid w:val="00197F70"/>
    <w:rsid w:val="001B416C"/>
    <w:rsid w:val="001C1042"/>
    <w:rsid w:val="001C40C3"/>
    <w:rsid w:val="00226001"/>
    <w:rsid w:val="0023592E"/>
    <w:rsid w:val="00277905"/>
    <w:rsid w:val="00293B62"/>
    <w:rsid w:val="002A77C5"/>
    <w:rsid w:val="00327259"/>
    <w:rsid w:val="00365B05"/>
    <w:rsid w:val="003870FA"/>
    <w:rsid w:val="003A27CB"/>
    <w:rsid w:val="00426EBF"/>
    <w:rsid w:val="0045511D"/>
    <w:rsid w:val="00467CFD"/>
    <w:rsid w:val="00470525"/>
    <w:rsid w:val="004772EC"/>
    <w:rsid w:val="005245F4"/>
    <w:rsid w:val="0054076E"/>
    <w:rsid w:val="0055412F"/>
    <w:rsid w:val="005D16D4"/>
    <w:rsid w:val="005E2507"/>
    <w:rsid w:val="006430BB"/>
    <w:rsid w:val="00695198"/>
    <w:rsid w:val="006B0448"/>
    <w:rsid w:val="006B277F"/>
    <w:rsid w:val="00723538"/>
    <w:rsid w:val="00793E89"/>
    <w:rsid w:val="007D544B"/>
    <w:rsid w:val="00806CD9"/>
    <w:rsid w:val="008D070C"/>
    <w:rsid w:val="008D404D"/>
    <w:rsid w:val="00912D00"/>
    <w:rsid w:val="0099223D"/>
    <w:rsid w:val="00993074"/>
    <w:rsid w:val="00A52852"/>
    <w:rsid w:val="00AF1081"/>
    <w:rsid w:val="00B02A1A"/>
    <w:rsid w:val="00B05B95"/>
    <w:rsid w:val="00BF3F4E"/>
    <w:rsid w:val="00C86403"/>
    <w:rsid w:val="00CC1F62"/>
    <w:rsid w:val="00CF7F2A"/>
    <w:rsid w:val="00DD5624"/>
    <w:rsid w:val="00E83D82"/>
    <w:rsid w:val="00EC1529"/>
    <w:rsid w:val="00EE4088"/>
    <w:rsid w:val="03180562"/>
    <w:rsid w:val="08147CF7"/>
    <w:rsid w:val="0A1E6F9E"/>
    <w:rsid w:val="12F6567D"/>
    <w:rsid w:val="14F85729"/>
    <w:rsid w:val="1602786A"/>
    <w:rsid w:val="191E6171"/>
    <w:rsid w:val="1E4C7947"/>
    <w:rsid w:val="1F80552D"/>
    <w:rsid w:val="21A41719"/>
    <w:rsid w:val="23B87C1E"/>
    <w:rsid w:val="24D81A98"/>
    <w:rsid w:val="25B86013"/>
    <w:rsid w:val="27B5350E"/>
    <w:rsid w:val="2C2E3713"/>
    <w:rsid w:val="2E1B49C8"/>
    <w:rsid w:val="2E436095"/>
    <w:rsid w:val="327F7667"/>
    <w:rsid w:val="3BA30A8A"/>
    <w:rsid w:val="3CAD59EE"/>
    <w:rsid w:val="3D4512CB"/>
    <w:rsid w:val="4A16286E"/>
    <w:rsid w:val="4BE909E0"/>
    <w:rsid w:val="4CCA017F"/>
    <w:rsid w:val="512F3B40"/>
    <w:rsid w:val="550B1317"/>
    <w:rsid w:val="55D0773D"/>
    <w:rsid w:val="5AEA7623"/>
    <w:rsid w:val="5C5D52A9"/>
    <w:rsid w:val="5F80653E"/>
    <w:rsid w:val="60E97CDE"/>
    <w:rsid w:val="61834271"/>
    <w:rsid w:val="61EA34C5"/>
    <w:rsid w:val="628336C5"/>
    <w:rsid w:val="66171132"/>
    <w:rsid w:val="6893436F"/>
    <w:rsid w:val="691C6B37"/>
    <w:rsid w:val="6F94205B"/>
    <w:rsid w:val="70450D71"/>
    <w:rsid w:val="708244C1"/>
    <w:rsid w:val="70D2639D"/>
    <w:rsid w:val="7A040B61"/>
    <w:rsid w:val="7ADE4C89"/>
    <w:rsid w:val="7AE213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2 Char"/>
    <w:basedOn w:val="6"/>
    <w:link w:val="2"/>
    <w:semiHidden/>
    <w:qFormat/>
    <w:uiPriority w:val="9"/>
    <w:rPr>
      <w:rFonts w:asciiTheme="majorHAnsi" w:hAnsiTheme="majorHAnsi" w:eastAsiaTheme="majorEastAsia" w:cstheme="majorBidi"/>
      <w:b/>
      <w:bCs/>
      <w:sz w:val="32"/>
      <w:szCs w:val="32"/>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3</Pages>
  <Words>148</Words>
  <Characters>849</Characters>
  <Lines>7</Lines>
  <Paragraphs>1</Paragraphs>
  <TotalTime>41</TotalTime>
  <ScaleCrop>false</ScaleCrop>
  <LinksUpToDate>false</LinksUpToDate>
  <CharactersWithSpaces>996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2021-03-28T02:53:00Z</dcterms:created>
  <dc:creator>ygh</dc:creator>
  <cp:lastModifiedBy>WPS_1528179340</cp:lastModifiedBy>
  <dcterms:modified xsi:type="dcterms:W3CDTF">2023-12-19T07:25:28Z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E703E279F6C149D2B7B27AF74287470A_13</vt:lpwstr>
  </property>
</Properties>
</file>